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ACC" w:rsidRPr="00507ACC" w:rsidRDefault="00507ACC" w:rsidP="00507ACC">
      <w:pPr>
        <w:pStyle w:val="Title"/>
        <w:jc w:val="center"/>
        <w:rPr>
          <w:szCs w:val="28"/>
        </w:rPr>
      </w:pPr>
      <w:r w:rsidRPr="00507ACC">
        <w:rPr>
          <w:szCs w:val="28"/>
        </w:rPr>
        <w:t>Explanatory Note</w:t>
      </w:r>
    </w:p>
    <w:p w:rsidR="00507ACC" w:rsidRPr="00507ACC" w:rsidRDefault="00507ACC" w:rsidP="00507ACC">
      <w:pPr>
        <w:pStyle w:val="Title"/>
        <w:jc w:val="center"/>
        <w:rPr>
          <w:szCs w:val="28"/>
        </w:rPr>
      </w:pPr>
      <w:r w:rsidRPr="00507ACC">
        <w:rPr>
          <w:szCs w:val="28"/>
        </w:rPr>
        <w:t xml:space="preserve">Minister for Planning </w:t>
      </w:r>
      <w:r w:rsidR="00CC3666">
        <w:rPr>
          <w:szCs w:val="28"/>
        </w:rPr>
        <w:t xml:space="preserve">and Public Spaces </w:t>
      </w:r>
      <w:r w:rsidRPr="00507ACC">
        <w:rPr>
          <w:szCs w:val="28"/>
        </w:rPr>
        <w:t>ABN 38 755 709 681</w:t>
      </w:r>
    </w:p>
    <w:p w:rsidR="00507ACC" w:rsidRPr="00507ACC" w:rsidRDefault="00507ACC" w:rsidP="00507ACC">
      <w:pPr>
        <w:pStyle w:val="Title"/>
        <w:jc w:val="center"/>
        <w:rPr>
          <w:szCs w:val="28"/>
        </w:rPr>
      </w:pPr>
      <w:r w:rsidRPr="00507ACC">
        <w:rPr>
          <w:szCs w:val="28"/>
        </w:rPr>
        <w:t>and</w:t>
      </w:r>
    </w:p>
    <w:p w:rsidR="00507ACC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proofErr w:type="spellStart"/>
      <w:r>
        <w:rPr>
          <w:rFonts w:ascii="Arial" w:hAnsi="Arial" w:cs="Arial"/>
          <w:b/>
          <w:bCs/>
          <w:szCs w:val="28"/>
        </w:rPr>
        <w:t>Danias</w:t>
      </w:r>
      <w:proofErr w:type="spellEnd"/>
      <w:r>
        <w:rPr>
          <w:rFonts w:ascii="Arial" w:hAnsi="Arial" w:cs="Arial"/>
          <w:b/>
          <w:bCs/>
          <w:szCs w:val="28"/>
        </w:rPr>
        <w:t xml:space="preserve"> Holdings Pty Limited (</w:t>
      </w:r>
      <w:r w:rsidR="00507ACC" w:rsidRPr="00507ACC">
        <w:rPr>
          <w:rFonts w:ascii="Arial" w:hAnsi="Arial" w:cs="Arial"/>
          <w:b/>
          <w:bCs/>
          <w:szCs w:val="28"/>
        </w:rPr>
        <w:t xml:space="preserve">ACN </w:t>
      </w:r>
      <w:r>
        <w:rPr>
          <w:rFonts w:ascii="Arial" w:hAnsi="Arial" w:cs="Arial"/>
          <w:b/>
          <w:bCs/>
          <w:szCs w:val="28"/>
        </w:rPr>
        <w:t xml:space="preserve">127 813 781) as trustee for </w:t>
      </w:r>
      <w:proofErr w:type="spellStart"/>
      <w:r>
        <w:rPr>
          <w:rFonts w:ascii="Arial" w:hAnsi="Arial" w:cs="Arial"/>
          <w:b/>
          <w:bCs/>
          <w:szCs w:val="28"/>
        </w:rPr>
        <w:t>Danias</w:t>
      </w:r>
      <w:proofErr w:type="spellEnd"/>
      <w:r>
        <w:rPr>
          <w:rFonts w:ascii="Arial" w:hAnsi="Arial" w:cs="Arial"/>
          <w:b/>
          <w:bCs/>
          <w:szCs w:val="28"/>
        </w:rPr>
        <w:t xml:space="preserve"> Investment Trust</w:t>
      </w:r>
    </w:p>
    <w:p w:rsidR="00507ACC" w:rsidRPr="00507ACC" w:rsidRDefault="00507ACC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and</w:t>
      </w:r>
    </w:p>
    <w:p w:rsidR="00507ACC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Dina </w:t>
      </w:r>
      <w:proofErr w:type="spellStart"/>
      <w:r>
        <w:rPr>
          <w:rFonts w:ascii="Arial" w:hAnsi="Arial" w:cs="Arial"/>
          <w:b/>
          <w:bCs/>
          <w:szCs w:val="28"/>
        </w:rPr>
        <w:t>Danias</w:t>
      </w:r>
      <w:proofErr w:type="spellEnd"/>
    </w:p>
    <w:p w:rsidR="00507ACC" w:rsidRPr="00507ACC" w:rsidRDefault="00507ACC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and</w:t>
      </w:r>
    </w:p>
    <w:p w:rsidR="00507ACC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George </w:t>
      </w:r>
      <w:proofErr w:type="spellStart"/>
      <w:r>
        <w:rPr>
          <w:rFonts w:ascii="Arial" w:hAnsi="Arial" w:cs="Arial"/>
          <w:b/>
          <w:bCs/>
          <w:szCs w:val="28"/>
        </w:rPr>
        <w:t>Danias</w:t>
      </w:r>
      <w:proofErr w:type="spellEnd"/>
    </w:p>
    <w:p w:rsidR="00CC3666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and</w:t>
      </w:r>
    </w:p>
    <w:p w:rsidR="00CC3666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Michael </w:t>
      </w:r>
      <w:proofErr w:type="spellStart"/>
      <w:r>
        <w:rPr>
          <w:rFonts w:ascii="Arial" w:hAnsi="Arial" w:cs="Arial"/>
          <w:b/>
          <w:bCs/>
          <w:szCs w:val="28"/>
        </w:rPr>
        <w:t>Danias</w:t>
      </w:r>
      <w:proofErr w:type="spellEnd"/>
    </w:p>
    <w:p w:rsidR="00CC3666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and</w:t>
      </w:r>
    </w:p>
    <w:p w:rsidR="00CC3666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Susie </w:t>
      </w:r>
      <w:proofErr w:type="spellStart"/>
      <w:r>
        <w:rPr>
          <w:rFonts w:ascii="Arial" w:hAnsi="Arial" w:cs="Arial"/>
          <w:b/>
          <w:bCs/>
          <w:szCs w:val="28"/>
        </w:rPr>
        <w:t>Danias</w:t>
      </w:r>
      <w:proofErr w:type="spellEnd"/>
    </w:p>
    <w:p w:rsidR="00CC3666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and</w:t>
      </w:r>
    </w:p>
    <w:p w:rsidR="00CC3666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proofErr w:type="spellStart"/>
      <w:r>
        <w:rPr>
          <w:rFonts w:ascii="Arial" w:hAnsi="Arial" w:cs="Arial"/>
          <w:b/>
          <w:bCs/>
          <w:szCs w:val="28"/>
        </w:rPr>
        <w:t>Sotwill</w:t>
      </w:r>
      <w:proofErr w:type="spellEnd"/>
      <w:r>
        <w:rPr>
          <w:rFonts w:ascii="Arial" w:hAnsi="Arial" w:cs="Arial"/>
          <w:b/>
          <w:bCs/>
          <w:szCs w:val="28"/>
        </w:rPr>
        <w:t xml:space="preserve"> Pty Limited (CAN 622 110 767) as trustee for </w:t>
      </w:r>
      <w:proofErr w:type="spellStart"/>
      <w:r>
        <w:rPr>
          <w:rFonts w:ascii="Arial" w:hAnsi="Arial" w:cs="Arial"/>
          <w:b/>
          <w:bCs/>
          <w:szCs w:val="28"/>
        </w:rPr>
        <w:t>Danias</w:t>
      </w:r>
      <w:proofErr w:type="spellEnd"/>
      <w:r>
        <w:rPr>
          <w:rFonts w:ascii="Arial" w:hAnsi="Arial" w:cs="Arial"/>
          <w:b/>
          <w:bCs/>
          <w:szCs w:val="28"/>
        </w:rPr>
        <w:t xml:space="preserve"> Unit Trust No 2</w:t>
      </w:r>
    </w:p>
    <w:p w:rsidR="00CC3666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and</w:t>
      </w:r>
    </w:p>
    <w:p w:rsidR="00CC3666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Angelo Angelopoulos in his capacity as trustee for </w:t>
      </w:r>
      <w:proofErr w:type="spellStart"/>
      <w:r>
        <w:rPr>
          <w:rFonts w:ascii="Arial" w:hAnsi="Arial" w:cs="Arial"/>
          <w:b/>
          <w:bCs/>
          <w:szCs w:val="28"/>
        </w:rPr>
        <w:t>Evanange</w:t>
      </w:r>
      <w:proofErr w:type="spellEnd"/>
      <w:r>
        <w:rPr>
          <w:rFonts w:ascii="Arial" w:hAnsi="Arial" w:cs="Arial"/>
          <w:b/>
          <w:bCs/>
          <w:szCs w:val="28"/>
        </w:rPr>
        <w:t xml:space="preserve"> Family Trust</w:t>
      </w:r>
    </w:p>
    <w:p w:rsidR="00CC3666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and</w:t>
      </w:r>
    </w:p>
    <w:p w:rsidR="00CC3666" w:rsidRPr="00507ACC" w:rsidRDefault="00CC3666" w:rsidP="00507ACC">
      <w:pPr>
        <w:pStyle w:val="StyleLTLDocumentTitleSub-HeadingLevel1Arial"/>
        <w:spacing w:before="240" w:after="24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Evan Angelopoulos in his capacity as trustee for </w:t>
      </w:r>
      <w:proofErr w:type="spellStart"/>
      <w:r>
        <w:rPr>
          <w:rFonts w:ascii="Arial" w:hAnsi="Arial" w:cs="Arial"/>
          <w:b/>
          <w:bCs/>
          <w:szCs w:val="28"/>
        </w:rPr>
        <w:t>Evanange</w:t>
      </w:r>
      <w:proofErr w:type="spellEnd"/>
      <w:r>
        <w:rPr>
          <w:rFonts w:ascii="Arial" w:hAnsi="Arial" w:cs="Arial"/>
          <w:b/>
          <w:bCs/>
          <w:szCs w:val="28"/>
        </w:rPr>
        <w:t xml:space="preserve"> Family Trust</w:t>
      </w:r>
    </w:p>
    <w:p w:rsidR="00507ACC" w:rsidRPr="00507ACC" w:rsidRDefault="00507ACC" w:rsidP="00507ACC">
      <w:pPr>
        <w:pStyle w:val="Title"/>
        <w:jc w:val="center"/>
        <w:rPr>
          <w:szCs w:val="28"/>
        </w:rPr>
      </w:pPr>
      <w:r w:rsidRPr="00507ACC">
        <w:rPr>
          <w:szCs w:val="28"/>
        </w:rPr>
        <w:t>Draft Planning Agreement</w:t>
      </w:r>
    </w:p>
    <w:p w:rsidR="00507ACC" w:rsidRPr="00D17888" w:rsidRDefault="00507ACC" w:rsidP="000E186B">
      <w:pPr>
        <w:pStyle w:val="Heading9"/>
        <w:numPr>
          <w:ilvl w:val="8"/>
          <w:numId w:val="10"/>
        </w:numPr>
      </w:pPr>
      <w:r w:rsidRPr="00D17888">
        <w:t>Introduction</w:t>
      </w:r>
    </w:p>
    <w:p w:rsidR="00507ACC" w:rsidRDefault="00507ACC" w:rsidP="00507ACC">
      <w:pPr>
        <w:rPr>
          <w:rFonts w:cs="Arial"/>
          <w:szCs w:val="22"/>
        </w:rPr>
      </w:pPr>
      <w:r w:rsidRPr="00D17888">
        <w:rPr>
          <w:rFonts w:cs="Arial"/>
          <w:szCs w:val="22"/>
        </w:rPr>
        <w:t xml:space="preserve">The purpose of this explanatory note is to provide a plain English summary to support the notification of the draft planning agreement (the </w:t>
      </w:r>
      <w:r w:rsidRPr="00D17888">
        <w:rPr>
          <w:rFonts w:cs="Arial"/>
          <w:b/>
          <w:szCs w:val="22"/>
        </w:rPr>
        <w:t>Planning Agreement</w:t>
      </w:r>
      <w:r w:rsidRPr="00D17888">
        <w:rPr>
          <w:rFonts w:cs="Arial"/>
          <w:szCs w:val="22"/>
        </w:rPr>
        <w:t xml:space="preserve">) prepared under Subdivision 2 of Division </w:t>
      </w:r>
      <w:r>
        <w:rPr>
          <w:rFonts w:cs="Arial"/>
          <w:szCs w:val="22"/>
        </w:rPr>
        <w:t>7.1 of Part 7</w:t>
      </w:r>
      <w:r w:rsidRPr="00D17888">
        <w:rPr>
          <w:rFonts w:cs="Arial"/>
          <w:szCs w:val="22"/>
        </w:rPr>
        <w:t xml:space="preserve"> of the </w:t>
      </w:r>
      <w:r w:rsidRPr="00D17888">
        <w:rPr>
          <w:rFonts w:cs="Arial"/>
          <w:i/>
          <w:szCs w:val="22"/>
        </w:rPr>
        <w:t xml:space="preserve">Environmental Planning and Assessment Act </w:t>
      </w:r>
      <w:r w:rsidRPr="00D17888">
        <w:rPr>
          <w:rFonts w:cs="Arial"/>
          <w:szCs w:val="22"/>
        </w:rPr>
        <w:t xml:space="preserve">1979 (the </w:t>
      </w:r>
      <w:r w:rsidRPr="00D17888">
        <w:rPr>
          <w:rFonts w:cs="Arial"/>
          <w:b/>
          <w:szCs w:val="22"/>
        </w:rPr>
        <w:t>Act</w:t>
      </w:r>
      <w:r w:rsidRPr="00D17888">
        <w:rPr>
          <w:rFonts w:cs="Arial"/>
          <w:szCs w:val="22"/>
        </w:rPr>
        <w:t xml:space="preserve">). </w:t>
      </w:r>
    </w:p>
    <w:p w:rsidR="00507ACC" w:rsidRPr="00D17888" w:rsidRDefault="00507ACC" w:rsidP="00507ACC">
      <w:pPr>
        <w:rPr>
          <w:rFonts w:cs="Arial"/>
          <w:szCs w:val="22"/>
        </w:rPr>
      </w:pPr>
      <w:r w:rsidRPr="00D17888">
        <w:rPr>
          <w:rFonts w:cs="Arial"/>
          <w:szCs w:val="22"/>
        </w:rPr>
        <w:t xml:space="preserve"> </w:t>
      </w:r>
    </w:p>
    <w:p w:rsidR="00507ACC" w:rsidRDefault="00507ACC" w:rsidP="00507ACC">
      <w:pPr>
        <w:rPr>
          <w:rFonts w:cs="Arial"/>
          <w:szCs w:val="22"/>
        </w:rPr>
      </w:pPr>
      <w:r w:rsidRPr="00D17888">
        <w:rPr>
          <w:rFonts w:cs="Arial"/>
          <w:szCs w:val="22"/>
        </w:rPr>
        <w:t xml:space="preserve">This explanatory note has been prepared jointly by the parties as required by clause 25E of the </w:t>
      </w:r>
      <w:r w:rsidRPr="00D17888">
        <w:rPr>
          <w:rFonts w:cs="Arial"/>
          <w:i/>
          <w:szCs w:val="22"/>
        </w:rPr>
        <w:t>Environmental Planning and Assessment Regulation</w:t>
      </w:r>
      <w:r w:rsidRPr="00D17888">
        <w:rPr>
          <w:rFonts w:cs="Arial"/>
          <w:szCs w:val="22"/>
        </w:rPr>
        <w:t xml:space="preserve"> 2000 (the </w:t>
      </w:r>
      <w:r w:rsidRPr="00D17888">
        <w:rPr>
          <w:rFonts w:cs="Arial"/>
          <w:b/>
          <w:szCs w:val="22"/>
        </w:rPr>
        <w:t>Regulation</w:t>
      </w:r>
      <w:r w:rsidRPr="00D17888">
        <w:rPr>
          <w:rFonts w:cs="Arial"/>
          <w:szCs w:val="22"/>
        </w:rPr>
        <w:t xml:space="preserve">).  </w:t>
      </w:r>
    </w:p>
    <w:p w:rsidR="00507ACC" w:rsidRPr="00D17888" w:rsidRDefault="00507ACC" w:rsidP="00507ACC">
      <w:pPr>
        <w:rPr>
          <w:rFonts w:cs="Arial"/>
          <w:szCs w:val="22"/>
        </w:rPr>
      </w:pPr>
    </w:p>
    <w:p w:rsidR="00507ACC" w:rsidRPr="00D17888" w:rsidRDefault="00507ACC" w:rsidP="000E186B">
      <w:pPr>
        <w:pStyle w:val="Heading9"/>
        <w:numPr>
          <w:ilvl w:val="8"/>
          <w:numId w:val="10"/>
        </w:numPr>
      </w:pPr>
      <w:r w:rsidRPr="00D17888">
        <w:t>Parties to the Planning Agreement</w:t>
      </w:r>
    </w:p>
    <w:p w:rsidR="00CC3666" w:rsidRDefault="00507ACC" w:rsidP="00CC3666">
      <w:pPr>
        <w:rPr>
          <w:rFonts w:cs="Arial"/>
        </w:rPr>
      </w:pPr>
      <w:r w:rsidRPr="00507ACC">
        <w:rPr>
          <w:rFonts w:cs="Arial"/>
        </w:rPr>
        <w:t>The parties to the Planning Agreement are</w:t>
      </w:r>
      <w:r w:rsidR="00CC3666">
        <w:rPr>
          <w:rFonts w:cs="Arial"/>
        </w:rPr>
        <w:t xml:space="preserve"> </w:t>
      </w:r>
      <w:r w:rsidRPr="00CC3666">
        <w:rPr>
          <w:rFonts w:cs="Arial"/>
        </w:rPr>
        <w:t xml:space="preserve">the Minister for Planning </w:t>
      </w:r>
      <w:r w:rsidR="00CC3666" w:rsidRPr="00CC3666">
        <w:rPr>
          <w:rFonts w:cs="Arial"/>
        </w:rPr>
        <w:t xml:space="preserve">and Public Spaces </w:t>
      </w:r>
      <w:r w:rsidRPr="00CC3666">
        <w:rPr>
          <w:rFonts w:cs="Arial"/>
        </w:rPr>
        <w:t xml:space="preserve">ABN 38 755 709 681 (the </w:t>
      </w:r>
      <w:r w:rsidRPr="00CC3666">
        <w:rPr>
          <w:rFonts w:cs="Arial"/>
          <w:b/>
        </w:rPr>
        <w:t>Minister</w:t>
      </w:r>
      <w:r w:rsidRPr="00CC3666">
        <w:rPr>
          <w:rFonts w:cs="Arial"/>
        </w:rPr>
        <w:t>)</w:t>
      </w:r>
      <w:r w:rsidR="00CC3666">
        <w:rPr>
          <w:rFonts w:cs="Arial"/>
        </w:rPr>
        <w:t xml:space="preserve"> and the following </w:t>
      </w:r>
      <w:r w:rsidR="00CC3666" w:rsidRPr="00CC3666">
        <w:rPr>
          <w:rFonts w:cs="Arial"/>
          <w:b/>
        </w:rPr>
        <w:t>Developer</w:t>
      </w:r>
      <w:r w:rsidR="00CC3666">
        <w:rPr>
          <w:rFonts w:cs="Arial"/>
        </w:rPr>
        <w:t xml:space="preserve"> parties:</w:t>
      </w:r>
    </w:p>
    <w:p w:rsidR="00DC7798" w:rsidRPr="00CC3666" w:rsidRDefault="00DC7798" w:rsidP="00CC3666">
      <w:pPr>
        <w:rPr>
          <w:rFonts w:cs="Arial"/>
        </w:rPr>
      </w:pPr>
    </w:p>
    <w:p w:rsidR="00CC3666" w:rsidRDefault="00CC3666" w:rsidP="000E186B">
      <w:pPr>
        <w:pStyle w:val="ListParagraph"/>
        <w:numPr>
          <w:ilvl w:val="0"/>
          <w:numId w:val="13"/>
        </w:numPr>
        <w:rPr>
          <w:rFonts w:cs="Arial"/>
        </w:rPr>
      </w:pPr>
      <w:proofErr w:type="spellStart"/>
      <w:r>
        <w:rPr>
          <w:rFonts w:cs="Arial"/>
        </w:rPr>
        <w:t>Danias</w:t>
      </w:r>
      <w:proofErr w:type="spellEnd"/>
      <w:r>
        <w:rPr>
          <w:rFonts w:cs="Arial"/>
        </w:rPr>
        <w:t xml:space="preserve"> Holdings Pty Limited (ACN 127 813 781) in its capacity as trustee for </w:t>
      </w:r>
      <w:proofErr w:type="spellStart"/>
      <w:r>
        <w:rPr>
          <w:rFonts w:cs="Arial"/>
        </w:rPr>
        <w:t>Danias</w:t>
      </w:r>
      <w:proofErr w:type="spellEnd"/>
      <w:r>
        <w:rPr>
          <w:rFonts w:cs="Arial"/>
        </w:rPr>
        <w:t xml:space="preserve"> Investment Trust;</w:t>
      </w:r>
    </w:p>
    <w:p w:rsidR="00CC3666" w:rsidRDefault="00CC3666" w:rsidP="000E186B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Dina </w:t>
      </w:r>
      <w:proofErr w:type="spellStart"/>
      <w:r>
        <w:rPr>
          <w:rFonts w:cs="Arial"/>
        </w:rPr>
        <w:t>Danias</w:t>
      </w:r>
      <w:proofErr w:type="spellEnd"/>
    </w:p>
    <w:p w:rsidR="00CC3666" w:rsidRDefault="00CC3666" w:rsidP="000E186B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George </w:t>
      </w:r>
      <w:proofErr w:type="spellStart"/>
      <w:r>
        <w:rPr>
          <w:rFonts w:cs="Arial"/>
        </w:rPr>
        <w:t>Danias</w:t>
      </w:r>
      <w:proofErr w:type="spellEnd"/>
    </w:p>
    <w:p w:rsidR="00CC3666" w:rsidRDefault="00CC3666" w:rsidP="000E186B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Michael </w:t>
      </w:r>
      <w:proofErr w:type="spellStart"/>
      <w:r>
        <w:rPr>
          <w:rFonts w:cs="Arial"/>
        </w:rPr>
        <w:t>Danias</w:t>
      </w:r>
      <w:proofErr w:type="spellEnd"/>
    </w:p>
    <w:p w:rsidR="00CC3666" w:rsidRDefault="00CC3666" w:rsidP="000E186B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Susie </w:t>
      </w:r>
      <w:proofErr w:type="spellStart"/>
      <w:r>
        <w:rPr>
          <w:rFonts w:cs="Arial"/>
        </w:rPr>
        <w:t>Danias</w:t>
      </w:r>
      <w:proofErr w:type="spellEnd"/>
    </w:p>
    <w:p w:rsidR="00CC3666" w:rsidRDefault="00CC3666" w:rsidP="000E186B">
      <w:pPr>
        <w:pStyle w:val="ListParagraph"/>
        <w:numPr>
          <w:ilvl w:val="0"/>
          <w:numId w:val="13"/>
        </w:numPr>
        <w:rPr>
          <w:rFonts w:cs="Arial"/>
        </w:rPr>
      </w:pPr>
      <w:proofErr w:type="spellStart"/>
      <w:r>
        <w:rPr>
          <w:rFonts w:cs="Arial"/>
        </w:rPr>
        <w:t>Sotwill</w:t>
      </w:r>
      <w:proofErr w:type="spellEnd"/>
      <w:r>
        <w:rPr>
          <w:rFonts w:cs="Arial"/>
        </w:rPr>
        <w:t xml:space="preserve"> Pty Limited (ACN 622 110 767) as trustee for </w:t>
      </w:r>
      <w:proofErr w:type="spellStart"/>
      <w:r>
        <w:rPr>
          <w:rFonts w:cs="Arial"/>
        </w:rPr>
        <w:t>Danias</w:t>
      </w:r>
      <w:proofErr w:type="spellEnd"/>
      <w:r>
        <w:rPr>
          <w:rFonts w:cs="Arial"/>
        </w:rPr>
        <w:t xml:space="preserve"> Unit Trust No 2</w:t>
      </w:r>
    </w:p>
    <w:p w:rsidR="00CC3666" w:rsidRDefault="00CC3666" w:rsidP="000E186B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Angelo Angelopoulos as trustee for </w:t>
      </w:r>
      <w:proofErr w:type="spellStart"/>
      <w:r>
        <w:rPr>
          <w:rFonts w:cs="Arial"/>
        </w:rPr>
        <w:t>Evanange</w:t>
      </w:r>
      <w:proofErr w:type="spellEnd"/>
      <w:r>
        <w:rPr>
          <w:rFonts w:cs="Arial"/>
        </w:rPr>
        <w:t xml:space="preserve"> Family Trust</w:t>
      </w:r>
    </w:p>
    <w:p w:rsidR="00507ACC" w:rsidRPr="00CC3666" w:rsidRDefault="00CC3666" w:rsidP="000E186B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Evan Angelopoulos as trustee for </w:t>
      </w:r>
      <w:proofErr w:type="spellStart"/>
      <w:r>
        <w:rPr>
          <w:rFonts w:cs="Arial"/>
        </w:rPr>
        <w:t>Evanange</w:t>
      </w:r>
      <w:proofErr w:type="spellEnd"/>
      <w:r>
        <w:rPr>
          <w:rFonts w:cs="Arial"/>
        </w:rPr>
        <w:t xml:space="preserve"> Family Trust</w:t>
      </w:r>
    </w:p>
    <w:p w:rsidR="00507ACC" w:rsidRPr="00D17888" w:rsidRDefault="00507ACC" w:rsidP="00507ACC">
      <w:pPr>
        <w:rPr>
          <w:rFonts w:cs="Arial"/>
        </w:rPr>
      </w:pPr>
    </w:p>
    <w:p w:rsidR="00507ACC" w:rsidRPr="00D17888" w:rsidRDefault="00507ACC" w:rsidP="000E186B">
      <w:pPr>
        <w:pStyle w:val="Heading9"/>
        <w:numPr>
          <w:ilvl w:val="8"/>
          <w:numId w:val="10"/>
        </w:numPr>
      </w:pPr>
      <w:r w:rsidRPr="00D17888">
        <w:t>Description of the Subject Land</w:t>
      </w:r>
    </w:p>
    <w:p w:rsidR="000E186B" w:rsidRDefault="00507ACC" w:rsidP="00507ACC">
      <w:pPr>
        <w:rPr>
          <w:rFonts w:cs="Arial"/>
          <w:szCs w:val="22"/>
        </w:rPr>
      </w:pPr>
      <w:r w:rsidRPr="00D17888">
        <w:rPr>
          <w:rFonts w:cs="Arial"/>
          <w:szCs w:val="22"/>
        </w:rPr>
        <w:t>Th</w:t>
      </w:r>
      <w:r>
        <w:rPr>
          <w:rFonts w:cs="Arial"/>
          <w:szCs w:val="22"/>
        </w:rPr>
        <w:t>e Planning Agreement applies to</w:t>
      </w:r>
      <w:r w:rsidR="000D40C0">
        <w:rPr>
          <w:rFonts w:cs="Arial"/>
          <w:szCs w:val="22"/>
        </w:rPr>
        <w:t xml:space="preserve"> the </w:t>
      </w:r>
      <w:r w:rsidR="000D40C0" w:rsidRPr="000D40C0">
        <w:rPr>
          <w:rFonts w:cs="Arial"/>
          <w:b/>
          <w:szCs w:val="22"/>
        </w:rPr>
        <w:t>Subject Land</w:t>
      </w:r>
      <w:r w:rsidR="000D40C0">
        <w:rPr>
          <w:rFonts w:cs="Arial"/>
          <w:szCs w:val="22"/>
        </w:rPr>
        <w:t>, being</w:t>
      </w:r>
      <w:r w:rsidR="000E186B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</w:t>
      </w:r>
    </w:p>
    <w:p w:rsidR="000E186B" w:rsidRDefault="000E186B" w:rsidP="00507ACC">
      <w:pPr>
        <w:rPr>
          <w:rFonts w:cs="Arial"/>
          <w:szCs w:val="22"/>
        </w:rPr>
      </w:pP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>Lot 5 in DP 63446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>Lot A in DP 178259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53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868710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Lots 152 – 156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761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Lots 4 and 6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226899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100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1239681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1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74200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10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701368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Sections 14 – 16, Lot 1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4590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B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343286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A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304426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1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78883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Lots 1 – 9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252507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1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583801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1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572829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Section 1 and 2, Lot 1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4590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Lots A – E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301985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A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166330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1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315293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20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667441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345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587262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 xml:space="preserve">Lot 1 </w:t>
      </w:r>
      <w:r>
        <w:rPr>
          <w:szCs w:val="22"/>
          <w:lang w:eastAsia="en-AU"/>
        </w:rPr>
        <w:t>in DP</w:t>
      </w:r>
      <w:r>
        <w:rPr>
          <w:szCs w:val="22"/>
          <w:lang w:eastAsia="en-AU"/>
        </w:rPr>
        <w:t xml:space="preserve"> 972534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>Lot 1 in DP</w:t>
      </w:r>
      <w:r>
        <w:rPr>
          <w:szCs w:val="22"/>
          <w:lang w:eastAsia="en-AU"/>
        </w:rPr>
        <w:t xml:space="preserve"> 724487</w:t>
      </w:r>
    </w:p>
    <w:p w:rsidR="000E186B" w:rsidRDefault="000E186B" w:rsidP="000E186B">
      <w:pPr>
        <w:pStyle w:val="ListParagraph"/>
        <w:numPr>
          <w:ilvl w:val="0"/>
          <w:numId w:val="14"/>
        </w:numPr>
        <w:rPr>
          <w:szCs w:val="22"/>
          <w:lang w:eastAsia="en-AU"/>
        </w:rPr>
      </w:pPr>
      <w:r>
        <w:rPr>
          <w:szCs w:val="22"/>
          <w:lang w:eastAsia="en-AU"/>
        </w:rPr>
        <w:t>Lot 1 in DP</w:t>
      </w:r>
      <w:r>
        <w:rPr>
          <w:szCs w:val="22"/>
          <w:lang w:eastAsia="en-AU"/>
        </w:rPr>
        <w:t xml:space="preserve"> 700223</w:t>
      </w:r>
    </w:p>
    <w:p w:rsidR="000E186B" w:rsidRDefault="000E186B" w:rsidP="000E186B">
      <w:pPr>
        <w:pStyle w:val="ListParagraph"/>
        <w:rPr>
          <w:szCs w:val="22"/>
          <w:lang w:eastAsia="en-AU"/>
        </w:rPr>
      </w:pPr>
    </w:p>
    <w:p w:rsidR="00507ACC" w:rsidRDefault="00507ACC" w:rsidP="00507ACC">
      <w:pPr>
        <w:rPr>
          <w:szCs w:val="22"/>
          <w:lang w:eastAsia="en-AU"/>
        </w:rPr>
      </w:pPr>
      <w:r>
        <w:rPr>
          <w:szCs w:val="22"/>
          <w:lang w:eastAsia="en-AU"/>
        </w:rPr>
        <w:t xml:space="preserve">The Subject Land </w:t>
      </w:r>
      <w:proofErr w:type="gramStart"/>
      <w:r>
        <w:rPr>
          <w:szCs w:val="22"/>
          <w:lang w:eastAsia="en-AU"/>
        </w:rPr>
        <w:t xml:space="preserve">is located </w:t>
      </w:r>
      <w:r w:rsidR="000D40C0">
        <w:rPr>
          <w:szCs w:val="22"/>
          <w:lang w:eastAsia="en-AU"/>
        </w:rPr>
        <w:t>in</w:t>
      </w:r>
      <w:proofErr w:type="gramEnd"/>
      <w:r w:rsidR="000D40C0">
        <w:rPr>
          <w:szCs w:val="22"/>
          <w:lang w:eastAsia="en-AU"/>
        </w:rPr>
        <w:t xml:space="preserve"> Marrickville</w:t>
      </w:r>
      <w:r>
        <w:rPr>
          <w:szCs w:val="22"/>
          <w:lang w:eastAsia="en-AU"/>
        </w:rPr>
        <w:t xml:space="preserve">. </w:t>
      </w:r>
    </w:p>
    <w:p w:rsidR="00507ACC" w:rsidRPr="002D0391" w:rsidRDefault="00507ACC" w:rsidP="00507ACC">
      <w:pPr>
        <w:rPr>
          <w:rFonts w:cs="Arial"/>
          <w:szCs w:val="22"/>
        </w:rPr>
      </w:pPr>
    </w:p>
    <w:p w:rsidR="00507ACC" w:rsidRPr="00D17888" w:rsidRDefault="00507ACC" w:rsidP="000E186B">
      <w:pPr>
        <w:pStyle w:val="Heading9"/>
        <w:numPr>
          <w:ilvl w:val="8"/>
          <w:numId w:val="10"/>
        </w:numPr>
      </w:pPr>
      <w:r w:rsidRPr="00D17888">
        <w:t>Description of the Proposed Development</w:t>
      </w:r>
    </w:p>
    <w:p w:rsidR="00507ACC" w:rsidRDefault="00454D56" w:rsidP="00507ACC">
      <w:pPr>
        <w:rPr>
          <w:rFonts w:eastAsia="Calibri" w:cs="Arial"/>
          <w:szCs w:val="22"/>
          <w:lang w:val="en-GB"/>
        </w:rPr>
      </w:pPr>
      <w:r>
        <w:rPr>
          <w:rFonts w:cs="Arial"/>
        </w:rPr>
        <w:t xml:space="preserve">The Developer </w:t>
      </w:r>
      <w:r w:rsidR="00507ACC">
        <w:rPr>
          <w:rFonts w:cs="Arial"/>
        </w:rPr>
        <w:t xml:space="preserve">proposes </w:t>
      </w:r>
      <w:r w:rsidR="00AC7F65">
        <w:rPr>
          <w:rFonts w:cs="Arial"/>
        </w:rPr>
        <w:t xml:space="preserve">to </w:t>
      </w:r>
      <w:r w:rsidR="00507ACC">
        <w:rPr>
          <w:rFonts w:cs="Arial"/>
        </w:rPr>
        <w:t xml:space="preserve">develop the Subject Land for </w:t>
      </w:r>
      <w:r w:rsidR="00AC7F65">
        <w:rPr>
          <w:rFonts w:cs="Arial"/>
        </w:rPr>
        <w:t xml:space="preserve">mixed use </w:t>
      </w:r>
      <w:r w:rsidR="00507ACC">
        <w:rPr>
          <w:rFonts w:cs="Arial"/>
        </w:rPr>
        <w:t xml:space="preserve">purposes under the </w:t>
      </w:r>
      <w:r w:rsidR="00AC7F65" w:rsidRPr="00AC7F65">
        <w:rPr>
          <w:rFonts w:cs="Arial"/>
          <w:i/>
        </w:rPr>
        <w:t>Marrickville</w:t>
      </w:r>
      <w:r w:rsidR="00AC7F65">
        <w:rPr>
          <w:rFonts w:cs="Arial"/>
        </w:rPr>
        <w:t xml:space="preserve"> </w:t>
      </w:r>
      <w:r w:rsidR="00507ACC" w:rsidRPr="00507ACC">
        <w:rPr>
          <w:rFonts w:cs="Arial"/>
          <w:i/>
        </w:rPr>
        <w:t>Local Environmental Plan</w:t>
      </w:r>
      <w:r w:rsidR="00507ACC">
        <w:rPr>
          <w:rFonts w:cs="Arial"/>
        </w:rPr>
        <w:t xml:space="preserve"> </w:t>
      </w:r>
      <w:r w:rsidR="00507ACC" w:rsidRPr="00AC7F65">
        <w:rPr>
          <w:rFonts w:cs="Arial"/>
          <w:i/>
        </w:rPr>
        <w:t>201</w:t>
      </w:r>
      <w:r w:rsidR="00AC7F65" w:rsidRPr="00AC7F65">
        <w:rPr>
          <w:rFonts w:cs="Arial"/>
          <w:i/>
        </w:rPr>
        <w:t>1</w:t>
      </w:r>
      <w:r w:rsidR="00247A83">
        <w:rPr>
          <w:rFonts w:cs="Arial"/>
        </w:rPr>
        <w:t xml:space="preserve"> (</w:t>
      </w:r>
      <w:r w:rsidR="00247A83">
        <w:rPr>
          <w:rFonts w:cs="Arial"/>
          <w:b/>
        </w:rPr>
        <w:t>LEP</w:t>
      </w:r>
      <w:r w:rsidR="00247A83">
        <w:rPr>
          <w:rFonts w:cs="Arial"/>
        </w:rPr>
        <w:t>)</w:t>
      </w:r>
      <w:r w:rsidR="00507ACC">
        <w:rPr>
          <w:rFonts w:cs="Arial"/>
        </w:rPr>
        <w:t xml:space="preserve">, </w:t>
      </w:r>
      <w:r w:rsidR="00AC7F65">
        <w:rPr>
          <w:rFonts w:cs="Arial"/>
        </w:rPr>
        <w:t xml:space="preserve">comprising approximately but no more than 9,600 square metres of gross floor area of commercial space and 880 residential housing lots in total over three sites </w:t>
      </w:r>
      <w:r w:rsidR="00507ACC" w:rsidRPr="00691BA7">
        <w:rPr>
          <w:rFonts w:eastAsia="Calibri" w:cs="Arial"/>
          <w:szCs w:val="22"/>
          <w:lang w:val="en-GB"/>
        </w:rPr>
        <w:t>(</w:t>
      </w:r>
      <w:r w:rsidR="00507ACC" w:rsidRPr="00691BA7">
        <w:rPr>
          <w:rFonts w:eastAsia="Calibri" w:cs="Arial"/>
          <w:b/>
          <w:szCs w:val="22"/>
          <w:lang w:val="en-GB"/>
        </w:rPr>
        <w:t>Proposed Development</w:t>
      </w:r>
      <w:r w:rsidR="00507ACC" w:rsidRPr="00691BA7">
        <w:rPr>
          <w:rFonts w:eastAsia="Calibri" w:cs="Arial"/>
          <w:szCs w:val="22"/>
          <w:lang w:val="en-GB"/>
        </w:rPr>
        <w:t xml:space="preserve">). </w:t>
      </w:r>
    </w:p>
    <w:p w:rsidR="00247A83" w:rsidRDefault="00247A83" w:rsidP="00507ACC">
      <w:pPr>
        <w:rPr>
          <w:rFonts w:eastAsia="Calibri" w:cs="Arial"/>
          <w:szCs w:val="22"/>
          <w:lang w:val="en-GB"/>
        </w:rPr>
      </w:pPr>
    </w:p>
    <w:p w:rsidR="00247A83" w:rsidRDefault="00247A83" w:rsidP="00507ACC">
      <w:pPr>
        <w:rPr>
          <w:rFonts w:eastAsia="Calibri" w:cs="Arial"/>
          <w:szCs w:val="22"/>
          <w:lang w:val="en-GB"/>
        </w:rPr>
      </w:pPr>
      <w:r>
        <w:rPr>
          <w:rFonts w:eastAsia="Calibri" w:cs="Arial"/>
          <w:szCs w:val="22"/>
          <w:lang w:val="en-GB"/>
        </w:rPr>
        <w:t xml:space="preserve">The LEP </w:t>
      </w:r>
      <w:r w:rsidR="00AC7F65">
        <w:rPr>
          <w:rFonts w:eastAsia="Calibri" w:cs="Arial"/>
          <w:szCs w:val="22"/>
          <w:lang w:val="en-GB"/>
        </w:rPr>
        <w:t>w</w:t>
      </w:r>
      <w:r>
        <w:rPr>
          <w:rFonts w:eastAsia="Calibri" w:cs="Arial"/>
          <w:szCs w:val="22"/>
          <w:lang w:val="en-GB"/>
        </w:rPr>
        <w:t xml:space="preserve">as amended </w:t>
      </w:r>
      <w:r w:rsidR="00AC7F65">
        <w:rPr>
          <w:rFonts w:eastAsia="Calibri" w:cs="Arial"/>
          <w:szCs w:val="22"/>
          <w:lang w:val="en-GB"/>
        </w:rPr>
        <w:t xml:space="preserve">by the making of the </w:t>
      </w:r>
      <w:proofErr w:type="spellStart"/>
      <w:r w:rsidR="00AC7F65" w:rsidRPr="00AC7F65">
        <w:rPr>
          <w:rFonts w:eastAsia="Calibri" w:cs="Arial"/>
          <w:i/>
          <w:szCs w:val="22"/>
          <w:lang w:val="en-GB"/>
        </w:rPr>
        <w:t>Marrickville</w:t>
      </w:r>
      <w:proofErr w:type="spellEnd"/>
      <w:r w:rsidR="00AC7F65" w:rsidRPr="00AC7F65">
        <w:rPr>
          <w:rFonts w:eastAsia="Calibri" w:cs="Arial"/>
          <w:i/>
          <w:szCs w:val="22"/>
          <w:lang w:val="en-GB"/>
        </w:rPr>
        <w:t xml:space="preserve"> Local Environmental Plan 2011 (Amendment No 14)</w:t>
      </w:r>
      <w:r w:rsidR="00AC7F65">
        <w:rPr>
          <w:rFonts w:eastAsia="Calibri" w:cs="Arial"/>
          <w:szCs w:val="22"/>
          <w:lang w:val="en-GB"/>
        </w:rPr>
        <w:t xml:space="preserve"> </w:t>
      </w:r>
      <w:r>
        <w:rPr>
          <w:rFonts w:eastAsia="Calibri" w:cs="Arial"/>
          <w:szCs w:val="22"/>
          <w:lang w:val="en-GB"/>
        </w:rPr>
        <w:t>such that the Proposed Development is permissible on the Subject Land.</w:t>
      </w:r>
    </w:p>
    <w:p w:rsidR="00507ACC" w:rsidRPr="00691BA7" w:rsidRDefault="00507ACC" w:rsidP="00507ACC">
      <w:pPr>
        <w:rPr>
          <w:rFonts w:eastAsia="Calibri" w:cs="Arial"/>
          <w:szCs w:val="22"/>
          <w:lang w:val="en-GB"/>
        </w:rPr>
      </w:pPr>
      <w:r w:rsidRPr="00691BA7">
        <w:rPr>
          <w:rFonts w:eastAsia="Calibri" w:cs="Arial"/>
          <w:szCs w:val="22"/>
          <w:lang w:val="en-GB"/>
        </w:rPr>
        <w:t xml:space="preserve"> </w:t>
      </w:r>
    </w:p>
    <w:p w:rsidR="00507ACC" w:rsidRDefault="00247A83" w:rsidP="00507ACC">
      <w:pPr>
        <w:rPr>
          <w:rFonts w:cs="Arial"/>
        </w:rPr>
      </w:pPr>
      <w:r w:rsidRPr="00B76B39">
        <w:rPr>
          <w:rFonts w:eastAsia="Calibri" w:cs="Arial"/>
          <w:szCs w:val="22"/>
          <w:lang w:val="en-GB"/>
        </w:rPr>
        <w:lastRenderedPageBreak/>
        <w:t>The Developer ha</w:t>
      </w:r>
      <w:r w:rsidR="00AC7F65">
        <w:rPr>
          <w:rFonts w:eastAsia="Calibri" w:cs="Arial"/>
          <w:szCs w:val="22"/>
          <w:lang w:val="en-GB"/>
        </w:rPr>
        <w:t>s</w:t>
      </w:r>
      <w:r w:rsidR="00507ACC" w:rsidRPr="00B76B39">
        <w:rPr>
          <w:rFonts w:eastAsia="Calibri" w:cs="Arial"/>
          <w:szCs w:val="22"/>
          <w:lang w:val="en-GB"/>
        </w:rPr>
        <w:t xml:space="preserve"> </w:t>
      </w:r>
      <w:r w:rsidR="00507ACC" w:rsidRPr="00B76B39">
        <w:rPr>
          <w:rFonts w:cs="Arial"/>
        </w:rPr>
        <w:t xml:space="preserve">made an offer to the Minister to enter into the Planning Agreement in connection with the </w:t>
      </w:r>
      <w:r w:rsidR="00AC7F65">
        <w:rPr>
          <w:rFonts w:cs="Arial"/>
        </w:rPr>
        <w:t xml:space="preserve">amendment to the LEP and the </w:t>
      </w:r>
      <w:r w:rsidR="00507ACC" w:rsidRPr="00B76B39">
        <w:rPr>
          <w:rFonts w:cs="Arial"/>
        </w:rPr>
        <w:t>Proposed Development.</w:t>
      </w:r>
      <w:r w:rsidRPr="00B76B39">
        <w:rPr>
          <w:rFonts w:cs="Arial"/>
        </w:rPr>
        <w:t xml:space="preserve"> </w:t>
      </w:r>
    </w:p>
    <w:p w:rsidR="00507ACC" w:rsidRPr="00691BA7" w:rsidRDefault="00507ACC" w:rsidP="00507ACC">
      <w:pPr>
        <w:rPr>
          <w:szCs w:val="22"/>
          <w:lang w:eastAsia="en-AU"/>
        </w:rPr>
      </w:pPr>
    </w:p>
    <w:p w:rsidR="00507ACC" w:rsidRPr="00691BA7" w:rsidRDefault="00507ACC" w:rsidP="000E186B">
      <w:pPr>
        <w:pStyle w:val="Heading9"/>
        <w:keepLines/>
        <w:numPr>
          <w:ilvl w:val="8"/>
          <w:numId w:val="10"/>
        </w:numPr>
      </w:pPr>
      <w:r w:rsidRPr="00691BA7">
        <w:t>Summary of Objectives, Nature and Effect of the Planning Agreement</w:t>
      </w:r>
    </w:p>
    <w:p w:rsidR="00507ACC" w:rsidRPr="0086622C" w:rsidRDefault="00507ACC" w:rsidP="00507ACC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247A83">
        <w:rPr>
          <w:rFonts w:ascii="Arial" w:hAnsi="Arial" w:cs="Arial"/>
          <w:sz w:val="20"/>
          <w:szCs w:val="20"/>
        </w:rPr>
        <w:t xml:space="preserve">The Planning Agreement provides </w:t>
      </w:r>
      <w:r w:rsidRPr="0086622C">
        <w:rPr>
          <w:rFonts w:ascii="Arial" w:hAnsi="Arial" w:cs="Arial"/>
          <w:sz w:val="20"/>
          <w:szCs w:val="20"/>
        </w:rPr>
        <w:t xml:space="preserve">that the Developer will make a monetary contribution of </w:t>
      </w:r>
      <w:r w:rsidR="00247A83" w:rsidRPr="0086622C">
        <w:rPr>
          <w:rFonts w:ascii="Arial" w:hAnsi="Arial" w:cs="Arial"/>
          <w:sz w:val="20"/>
          <w:szCs w:val="20"/>
          <w:lang w:val="en-GB"/>
        </w:rPr>
        <w:t>$</w:t>
      </w:r>
      <w:r w:rsidR="00AC7F65">
        <w:rPr>
          <w:rFonts w:ascii="Arial" w:hAnsi="Arial" w:cs="Arial"/>
          <w:sz w:val="20"/>
          <w:szCs w:val="20"/>
          <w:lang w:val="en-GB"/>
        </w:rPr>
        <w:t>2,100,000</w:t>
      </w:r>
      <w:r w:rsidRPr="0086622C">
        <w:rPr>
          <w:rFonts w:ascii="Arial" w:hAnsi="Arial" w:cs="Arial"/>
          <w:sz w:val="20"/>
          <w:szCs w:val="20"/>
        </w:rPr>
        <w:t xml:space="preserve"> for </w:t>
      </w:r>
      <w:r w:rsidR="00DC7798">
        <w:rPr>
          <w:rFonts w:ascii="Arial" w:hAnsi="Arial" w:cs="Arial"/>
          <w:sz w:val="20"/>
          <w:szCs w:val="20"/>
        </w:rPr>
        <w:t>land required for regional open space</w:t>
      </w:r>
      <w:r w:rsidR="00247A83" w:rsidRPr="0086622C">
        <w:rPr>
          <w:rFonts w:ascii="Arial" w:hAnsi="Arial" w:cs="Arial"/>
          <w:sz w:val="20"/>
          <w:szCs w:val="20"/>
        </w:rPr>
        <w:t xml:space="preserve">. </w:t>
      </w:r>
    </w:p>
    <w:p w:rsidR="00AC7F65" w:rsidRDefault="00FA53FD" w:rsidP="00507ACC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86622C">
        <w:rPr>
          <w:rFonts w:ascii="Arial" w:hAnsi="Arial" w:cs="Arial"/>
          <w:sz w:val="20"/>
          <w:szCs w:val="20"/>
        </w:rPr>
        <w:t>The</w:t>
      </w:r>
      <w:r w:rsidR="00247A83" w:rsidRPr="0086622C">
        <w:rPr>
          <w:rFonts w:ascii="Arial" w:hAnsi="Arial" w:cs="Arial"/>
          <w:sz w:val="20"/>
          <w:szCs w:val="20"/>
        </w:rPr>
        <w:t xml:space="preserve"> Planning Agreement</w:t>
      </w:r>
      <w:r w:rsidRPr="0086622C">
        <w:rPr>
          <w:rFonts w:ascii="Arial" w:hAnsi="Arial" w:cs="Arial"/>
          <w:sz w:val="20"/>
          <w:szCs w:val="20"/>
        </w:rPr>
        <w:t xml:space="preserve"> also requires</w:t>
      </w:r>
      <w:r w:rsidR="00247A83" w:rsidRPr="0086622C">
        <w:rPr>
          <w:rFonts w:ascii="Arial" w:hAnsi="Arial" w:cs="Arial"/>
          <w:sz w:val="20"/>
          <w:szCs w:val="20"/>
        </w:rPr>
        <w:t xml:space="preserve"> t</w:t>
      </w:r>
      <w:r w:rsidR="00507ACC" w:rsidRPr="0086622C">
        <w:rPr>
          <w:rFonts w:ascii="Arial" w:hAnsi="Arial" w:cs="Arial"/>
          <w:sz w:val="20"/>
          <w:szCs w:val="20"/>
        </w:rPr>
        <w:t xml:space="preserve">he Developer </w:t>
      </w:r>
      <w:r w:rsidR="00AC7F65">
        <w:rPr>
          <w:rFonts w:ascii="Arial" w:hAnsi="Arial" w:cs="Arial"/>
          <w:sz w:val="20"/>
          <w:szCs w:val="20"/>
        </w:rPr>
        <w:t xml:space="preserve">to: </w:t>
      </w:r>
    </w:p>
    <w:p w:rsidR="00AC7F65" w:rsidRDefault="00AC7F65" w:rsidP="00AC7F65">
      <w:pPr>
        <w:pStyle w:val="ListBulle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undertake road works – being the creation of a left-turn slip lane from Sydenham Road (west) to Victoria Road (north) and a 90m right-turn bay along Victoria Road (north) at Marrickville; and</w:t>
      </w:r>
    </w:p>
    <w:p w:rsidR="00AC7F65" w:rsidRDefault="00AC7F65" w:rsidP="00AC7F65">
      <w:pPr>
        <w:pStyle w:val="ListBullet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dedicate a portion of the Subject Land plus other parcels of land required for the road works to the Minister or the Minister’s nominee. </w:t>
      </w:r>
    </w:p>
    <w:p w:rsidR="00507ACC" w:rsidRPr="00247A83" w:rsidRDefault="00507ACC" w:rsidP="00507ACC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247A83">
        <w:rPr>
          <w:rFonts w:ascii="Arial" w:hAnsi="Arial" w:cs="Arial"/>
          <w:sz w:val="20"/>
          <w:szCs w:val="20"/>
        </w:rPr>
        <w:t xml:space="preserve">Under the Planning Agreement, the Developer must satisfy its </w:t>
      </w:r>
      <w:r w:rsidR="00FA53FD">
        <w:rPr>
          <w:rFonts w:ascii="Arial" w:hAnsi="Arial" w:cs="Arial"/>
          <w:sz w:val="20"/>
          <w:szCs w:val="20"/>
        </w:rPr>
        <w:t xml:space="preserve">development contribution obligations </w:t>
      </w:r>
      <w:r w:rsidRPr="00247A83">
        <w:rPr>
          <w:rFonts w:ascii="Arial" w:hAnsi="Arial" w:cs="Arial"/>
          <w:sz w:val="20"/>
          <w:szCs w:val="20"/>
        </w:rPr>
        <w:t>in stages</w:t>
      </w:r>
      <w:r w:rsidR="00DC7798">
        <w:rPr>
          <w:rFonts w:ascii="Arial" w:hAnsi="Arial" w:cs="Arial"/>
          <w:sz w:val="20"/>
          <w:szCs w:val="20"/>
        </w:rPr>
        <w:t>, which include</w:t>
      </w:r>
      <w:r w:rsidRPr="00247A83">
        <w:rPr>
          <w:rFonts w:ascii="Arial" w:hAnsi="Arial" w:cs="Arial"/>
          <w:sz w:val="20"/>
          <w:szCs w:val="20"/>
        </w:rPr>
        <w:t>:</w:t>
      </w:r>
    </w:p>
    <w:p w:rsidR="002347BE" w:rsidRPr="002347BE" w:rsidRDefault="002347BE" w:rsidP="000E186B">
      <w:pPr>
        <w:pStyle w:val="ListBullet"/>
        <w:numPr>
          <w:ilvl w:val="0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$700,000 payable on execution;</w:t>
      </w:r>
    </w:p>
    <w:p w:rsidR="002347BE" w:rsidRPr="002347BE" w:rsidRDefault="002347BE" w:rsidP="000E186B">
      <w:pPr>
        <w:pStyle w:val="ListBullet"/>
        <w:numPr>
          <w:ilvl w:val="0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$700,000 </w:t>
      </w:r>
      <w:r w:rsidR="00DC7798">
        <w:rPr>
          <w:rFonts w:ascii="Arial" w:hAnsi="Arial" w:cs="Arial"/>
          <w:sz w:val="20"/>
          <w:szCs w:val="20"/>
        </w:rPr>
        <w:t xml:space="preserve">payable </w:t>
      </w:r>
      <w:r>
        <w:rPr>
          <w:rFonts w:ascii="Arial" w:hAnsi="Arial" w:cs="Arial"/>
          <w:sz w:val="20"/>
          <w:szCs w:val="20"/>
        </w:rPr>
        <w:t>on the date that is 20 business days after the issue of an occupation certificate in respect of the 300</w:t>
      </w:r>
      <w:r w:rsidRPr="002347B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Final Lot (as defined in the Planning Agreement)</w:t>
      </w:r>
    </w:p>
    <w:p w:rsidR="002347BE" w:rsidRPr="002347BE" w:rsidRDefault="002347BE" w:rsidP="000E186B">
      <w:pPr>
        <w:pStyle w:val="ListBullet"/>
        <w:numPr>
          <w:ilvl w:val="0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$700,000 </w:t>
      </w:r>
      <w:r w:rsidR="00DC7798">
        <w:rPr>
          <w:rFonts w:ascii="Arial" w:hAnsi="Arial" w:cs="Arial"/>
          <w:sz w:val="20"/>
          <w:szCs w:val="20"/>
        </w:rPr>
        <w:t xml:space="preserve">payable </w:t>
      </w:r>
      <w:r>
        <w:rPr>
          <w:rFonts w:ascii="Arial" w:hAnsi="Arial" w:cs="Arial"/>
          <w:sz w:val="20"/>
          <w:szCs w:val="20"/>
        </w:rPr>
        <w:t>on the date that is 20 business days after the issue of an occupation certificate in respect of the 450</w:t>
      </w:r>
      <w:r w:rsidRPr="002347B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Final Lot; and</w:t>
      </w:r>
    </w:p>
    <w:p w:rsidR="00507ACC" w:rsidRPr="00FA53FD" w:rsidRDefault="00DC7798" w:rsidP="000E186B">
      <w:pPr>
        <w:pStyle w:val="ListBullet"/>
        <w:numPr>
          <w:ilvl w:val="0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347BE">
        <w:rPr>
          <w:rFonts w:ascii="Arial" w:hAnsi="Arial" w:cs="Arial"/>
          <w:sz w:val="20"/>
          <w:szCs w:val="20"/>
        </w:rPr>
        <w:t>ompletion of the road works and dedication of the land prior to the issue of an occupation certificate in respect of the 300</w:t>
      </w:r>
      <w:r w:rsidR="002347BE" w:rsidRPr="002347BE">
        <w:rPr>
          <w:rFonts w:ascii="Arial" w:hAnsi="Arial" w:cs="Arial"/>
          <w:sz w:val="20"/>
          <w:szCs w:val="20"/>
          <w:vertAlign w:val="superscript"/>
        </w:rPr>
        <w:t>th</w:t>
      </w:r>
      <w:r w:rsidR="002347BE">
        <w:rPr>
          <w:rFonts w:ascii="Arial" w:hAnsi="Arial" w:cs="Arial"/>
          <w:sz w:val="20"/>
          <w:szCs w:val="20"/>
        </w:rPr>
        <w:t xml:space="preserve"> Final Lot.</w:t>
      </w:r>
    </w:p>
    <w:p w:rsidR="00507ACC" w:rsidRDefault="00507ACC" w:rsidP="00507ACC">
      <w:pPr>
        <w:pStyle w:val="ListBullet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247A83">
        <w:rPr>
          <w:rFonts w:ascii="Arial" w:hAnsi="Arial"/>
          <w:sz w:val="20"/>
          <w:szCs w:val="20"/>
        </w:rPr>
        <w:t>The Developer is required to provide a security by way of bank guarantee</w:t>
      </w:r>
      <w:r w:rsidR="002347BE">
        <w:rPr>
          <w:rFonts w:ascii="Arial" w:hAnsi="Arial"/>
          <w:sz w:val="20"/>
          <w:szCs w:val="20"/>
        </w:rPr>
        <w:t>s</w:t>
      </w:r>
      <w:r w:rsidRPr="00247A83">
        <w:rPr>
          <w:rFonts w:ascii="Arial" w:hAnsi="Arial"/>
          <w:sz w:val="20"/>
          <w:szCs w:val="20"/>
        </w:rPr>
        <w:t xml:space="preserve"> </w:t>
      </w:r>
      <w:r w:rsidR="002347BE">
        <w:rPr>
          <w:rFonts w:ascii="Arial" w:hAnsi="Arial"/>
          <w:sz w:val="20"/>
          <w:szCs w:val="20"/>
        </w:rPr>
        <w:t>on execution: one for $100,000 and a second for $600,000</w:t>
      </w:r>
      <w:r w:rsidRPr="00247A83">
        <w:rPr>
          <w:rFonts w:ascii="Arial" w:hAnsi="Arial"/>
          <w:sz w:val="20"/>
          <w:szCs w:val="20"/>
        </w:rPr>
        <w:t>.</w:t>
      </w:r>
      <w:r w:rsidR="00454D56">
        <w:rPr>
          <w:rFonts w:ascii="Arial" w:hAnsi="Arial"/>
          <w:sz w:val="20"/>
          <w:szCs w:val="20"/>
        </w:rPr>
        <w:t xml:space="preserve">  The Developer is further required to provide security </w:t>
      </w:r>
      <w:r w:rsidR="002347BE">
        <w:rPr>
          <w:rFonts w:ascii="Arial" w:hAnsi="Arial"/>
          <w:sz w:val="20"/>
          <w:szCs w:val="20"/>
        </w:rPr>
        <w:t>related to the road works and land dedication</w:t>
      </w:r>
      <w:r w:rsidR="00454D56">
        <w:rPr>
          <w:rFonts w:ascii="Arial" w:hAnsi="Arial"/>
          <w:sz w:val="20"/>
          <w:szCs w:val="20"/>
        </w:rPr>
        <w:t xml:space="preserve">.  This latter security will be returned to the Developer when the Developer gives RMS security satisfactory to RMS and the Minister under the Works Authorisation Deed for the </w:t>
      </w:r>
      <w:r w:rsidR="002347BE">
        <w:rPr>
          <w:rFonts w:ascii="Arial" w:hAnsi="Arial"/>
          <w:sz w:val="20"/>
          <w:szCs w:val="20"/>
        </w:rPr>
        <w:t>road works and satisfies obligations relating to the dedication land in clause 4.3 of Schedule 4</w:t>
      </w:r>
      <w:r w:rsidR="00454D56">
        <w:rPr>
          <w:rFonts w:ascii="Arial" w:hAnsi="Arial"/>
          <w:sz w:val="20"/>
          <w:szCs w:val="20"/>
        </w:rPr>
        <w:t>.</w:t>
      </w:r>
    </w:p>
    <w:p w:rsidR="00DC7798" w:rsidRPr="00247A83" w:rsidRDefault="00DC7798" w:rsidP="00507ACC">
      <w:pPr>
        <w:pStyle w:val="ListBullet"/>
        <w:numPr>
          <w:ilvl w:val="0"/>
          <w:numId w:val="0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planning agreement will be registered on the titles to the Subject Land.</w:t>
      </w:r>
    </w:p>
    <w:p w:rsidR="00507ACC" w:rsidRPr="00247A83" w:rsidRDefault="00507ACC" w:rsidP="00507ACC">
      <w:pPr>
        <w:pStyle w:val="ListBullet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247A83">
        <w:rPr>
          <w:rFonts w:ascii="Arial" w:hAnsi="Arial"/>
          <w:sz w:val="20"/>
          <w:szCs w:val="20"/>
        </w:rPr>
        <w:t xml:space="preserve">The objective of the Planning Agreement is to facilitate the delivery of the Developer’s contributions towards the provision of transport infrastructure and </w:t>
      </w:r>
      <w:r w:rsidR="002347BE">
        <w:rPr>
          <w:rFonts w:ascii="Arial" w:hAnsi="Arial"/>
          <w:sz w:val="20"/>
          <w:szCs w:val="20"/>
        </w:rPr>
        <w:t xml:space="preserve">other designated </w:t>
      </w:r>
      <w:r w:rsidR="00DC7798">
        <w:rPr>
          <w:rFonts w:ascii="Arial" w:hAnsi="Arial"/>
          <w:sz w:val="20"/>
          <w:szCs w:val="20"/>
        </w:rPr>
        <w:t>S</w:t>
      </w:r>
      <w:r w:rsidR="002347BE">
        <w:rPr>
          <w:rFonts w:ascii="Arial" w:hAnsi="Arial"/>
          <w:sz w:val="20"/>
          <w:szCs w:val="20"/>
        </w:rPr>
        <w:t xml:space="preserve">tate public infrastructure </w:t>
      </w:r>
      <w:r w:rsidR="00EB65AF">
        <w:rPr>
          <w:rFonts w:ascii="Arial" w:hAnsi="Arial"/>
          <w:sz w:val="20"/>
          <w:szCs w:val="20"/>
        </w:rPr>
        <w:t>for use by the future residents of the Subject Land</w:t>
      </w:r>
      <w:r w:rsidR="00323933">
        <w:rPr>
          <w:rFonts w:ascii="Arial" w:hAnsi="Arial"/>
          <w:sz w:val="20"/>
          <w:szCs w:val="20"/>
        </w:rPr>
        <w:t xml:space="preserve"> and the</w:t>
      </w:r>
      <w:r w:rsidR="00EB65AF">
        <w:rPr>
          <w:rFonts w:ascii="Arial" w:hAnsi="Arial"/>
          <w:sz w:val="20"/>
          <w:szCs w:val="20"/>
        </w:rPr>
        <w:t xml:space="preserve"> residents of the</w:t>
      </w:r>
      <w:r w:rsidR="00323933">
        <w:rPr>
          <w:rFonts w:ascii="Arial" w:hAnsi="Arial"/>
          <w:sz w:val="20"/>
          <w:szCs w:val="20"/>
        </w:rPr>
        <w:t xml:space="preserve"> broader </w:t>
      </w:r>
      <w:r w:rsidR="002347BE">
        <w:rPr>
          <w:rFonts w:ascii="Arial" w:hAnsi="Arial"/>
          <w:sz w:val="20"/>
          <w:szCs w:val="20"/>
        </w:rPr>
        <w:t xml:space="preserve">Marrickville </w:t>
      </w:r>
      <w:r w:rsidR="00323933">
        <w:rPr>
          <w:rFonts w:ascii="Arial" w:hAnsi="Arial"/>
          <w:sz w:val="20"/>
          <w:szCs w:val="20"/>
        </w:rPr>
        <w:t>Local Government Area (</w:t>
      </w:r>
      <w:r w:rsidR="00323933" w:rsidRPr="00323933">
        <w:rPr>
          <w:rFonts w:ascii="Arial" w:hAnsi="Arial"/>
          <w:b/>
          <w:sz w:val="20"/>
          <w:szCs w:val="20"/>
        </w:rPr>
        <w:t>LGA</w:t>
      </w:r>
      <w:r w:rsidR="00323933">
        <w:rPr>
          <w:rFonts w:ascii="Arial" w:hAnsi="Arial"/>
          <w:sz w:val="20"/>
          <w:szCs w:val="20"/>
        </w:rPr>
        <w:t xml:space="preserve">). </w:t>
      </w:r>
    </w:p>
    <w:p w:rsidR="00507ACC" w:rsidRPr="00D17888" w:rsidRDefault="00507ACC" w:rsidP="00507ACC">
      <w:pPr>
        <w:pStyle w:val="Heading9"/>
      </w:pPr>
      <w:r w:rsidRPr="00D17888">
        <w:t>Assessment of Merits of Planning Agreement</w:t>
      </w:r>
    </w:p>
    <w:p w:rsidR="00507ACC" w:rsidRPr="00D17888" w:rsidRDefault="00507ACC" w:rsidP="00507ACC">
      <w:pPr>
        <w:pStyle w:val="SubtitleTNR"/>
        <w:rPr>
          <w:rFonts w:ascii="Arial" w:hAnsi="Arial" w:cs="Arial"/>
          <w:sz w:val="22"/>
          <w:szCs w:val="22"/>
        </w:rPr>
      </w:pPr>
      <w:r w:rsidRPr="00D17888">
        <w:rPr>
          <w:rFonts w:ascii="Arial" w:hAnsi="Arial" w:cs="Arial"/>
          <w:sz w:val="22"/>
          <w:szCs w:val="22"/>
        </w:rPr>
        <w:t>The Planning Purpose of the Planning Agreement</w:t>
      </w:r>
    </w:p>
    <w:p w:rsidR="00507ACC" w:rsidRPr="00247A83" w:rsidRDefault="00507ACC" w:rsidP="00507ACC">
      <w:pPr>
        <w:pStyle w:val="IndentParaLevel1"/>
        <w:ind w:left="0"/>
        <w:rPr>
          <w:rFonts w:ascii="Arial" w:hAnsi="Arial" w:cs="Arial"/>
          <w:sz w:val="20"/>
          <w:szCs w:val="20"/>
        </w:rPr>
      </w:pPr>
      <w:r w:rsidRPr="00247A83">
        <w:rPr>
          <w:rFonts w:ascii="Arial" w:hAnsi="Arial"/>
          <w:sz w:val="20"/>
          <w:szCs w:val="20"/>
        </w:rPr>
        <w:t>In accordance with section 7.4(2) of the Act, the Planning Agreement has the following public purpose</w:t>
      </w:r>
      <w:r w:rsidR="00DC7798">
        <w:rPr>
          <w:rFonts w:ascii="Arial" w:hAnsi="Arial"/>
          <w:sz w:val="20"/>
          <w:szCs w:val="20"/>
        </w:rPr>
        <w:t>s</w:t>
      </w:r>
      <w:r w:rsidRPr="00247A83">
        <w:rPr>
          <w:rFonts w:ascii="Arial" w:hAnsi="Arial" w:cs="Arial"/>
          <w:sz w:val="20"/>
          <w:szCs w:val="20"/>
        </w:rPr>
        <w:t>:</w:t>
      </w:r>
    </w:p>
    <w:p w:rsidR="00DC7798" w:rsidRDefault="00507ACC" w:rsidP="00507ACC">
      <w:pPr>
        <w:pStyle w:val="ListBullet"/>
        <w:tabs>
          <w:tab w:val="clear" w:pos="964"/>
        </w:tabs>
        <w:ind w:left="440" w:hanging="440"/>
        <w:rPr>
          <w:rFonts w:ascii="Arial" w:hAnsi="Arial" w:cs="Arial"/>
          <w:sz w:val="20"/>
          <w:szCs w:val="20"/>
        </w:rPr>
      </w:pPr>
      <w:r w:rsidRPr="00247A83">
        <w:rPr>
          <w:rFonts w:ascii="Arial" w:hAnsi="Arial" w:cs="Arial"/>
          <w:sz w:val="20"/>
          <w:szCs w:val="20"/>
        </w:rPr>
        <w:t>the provision of (or the recoupment of the cost of providing) transport or other infrastructure relating to land</w:t>
      </w:r>
      <w:r w:rsidR="00DC7798">
        <w:rPr>
          <w:rFonts w:ascii="Arial" w:hAnsi="Arial" w:cs="Arial"/>
          <w:sz w:val="20"/>
          <w:szCs w:val="20"/>
        </w:rPr>
        <w:t>; and</w:t>
      </w:r>
    </w:p>
    <w:p w:rsidR="00507ACC" w:rsidRPr="00247A83" w:rsidRDefault="00DC7798" w:rsidP="00507ACC">
      <w:pPr>
        <w:pStyle w:val="ListBullet"/>
        <w:tabs>
          <w:tab w:val="clear" w:pos="964"/>
        </w:tabs>
        <w:ind w:left="440" w:hanging="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provision of (or the recoupment of the cost of providing) public amenities or public services</w:t>
      </w:r>
      <w:r w:rsidR="00507ACC" w:rsidRPr="00247A83">
        <w:rPr>
          <w:rFonts w:ascii="Arial" w:hAnsi="Arial" w:cs="Arial"/>
          <w:sz w:val="20"/>
          <w:szCs w:val="20"/>
        </w:rPr>
        <w:t xml:space="preserve">. </w:t>
      </w:r>
    </w:p>
    <w:p w:rsidR="00507ACC" w:rsidRPr="00247A83" w:rsidRDefault="00507ACC" w:rsidP="00507ACC">
      <w:r w:rsidRPr="00247A83">
        <w:t>The Minister and the Developer have assessed the Planning Agreement and hold the view that the provisions of the Planning Agreement provide a reasonable means of achieving the public purpose</w:t>
      </w:r>
      <w:r w:rsidR="00DC7798">
        <w:t>s</w:t>
      </w:r>
      <w:r w:rsidRPr="00247A83">
        <w:t xml:space="preserve"> set out above.  This is because it will ensure that the Developer makes appropriate contributions </w:t>
      </w:r>
      <w:r w:rsidRPr="00247A83">
        <w:lastRenderedPageBreak/>
        <w:t xml:space="preserve">towards the provision of </w:t>
      </w:r>
      <w:r w:rsidR="00DC7798">
        <w:t xml:space="preserve">transport </w:t>
      </w:r>
      <w:r w:rsidRPr="00247A83">
        <w:t>infrastr</w:t>
      </w:r>
      <w:r w:rsidR="00323933">
        <w:t>ucture</w:t>
      </w:r>
      <w:r w:rsidR="00DC7798">
        <w:t xml:space="preserve"> and public</w:t>
      </w:r>
      <w:r w:rsidR="00323933">
        <w:t xml:space="preserve"> facilities both within the Subject Land and in the broader </w:t>
      </w:r>
      <w:r w:rsidR="00DC7798">
        <w:t xml:space="preserve">Marrickville </w:t>
      </w:r>
      <w:r w:rsidR="00323933">
        <w:t>LGA.</w:t>
      </w:r>
    </w:p>
    <w:p w:rsidR="00507ACC" w:rsidRPr="00D17888" w:rsidRDefault="00507ACC" w:rsidP="00507ACC"/>
    <w:p w:rsidR="00507ACC" w:rsidRPr="00D17888" w:rsidRDefault="00507ACC" w:rsidP="00507ACC">
      <w:pPr>
        <w:pStyle w:val="SubtitleTNR"/>
        <w:rPr>
          <w:rFonts w:ascii="Arial" w:hAnsi="Arial" w:cs="Arial"/>
          <w:sz w:val="22"/>
          <w:szCs w:val="22"/>
        </w:rPr>
      </w:pPr>
      <w:r w:rsidRPr="00D17888">
        <w:rPr>
          <w:rFonts w:ascii="Arial" w:hAnsi="Arial" w:cs="Arial"/>
          <w:sz w:val="22"/>
          <w:szCs w:val="22"/>
        </w:rPr>
        <w:t>How the Planning Agreement Promotes the Public Interest</w:t>
      </w:r>
    </w:p>
    <w:p w:rsidR="00507ACC" w:rsidRDefault="00507ACC" w:rsidP="00507ACC">
      <w:pPr>
        <w:rPr>
          <w:rFonts w:cs="Arial"/>
        </w:rPr>
      </w:pPr>
      <w:r w:rsidRPr="00D17888">
        <w:rPr>
          <w:rFonts w:cs="Arial"/>
        </w:rPr>
        <w:t>The Planning Agreement promotes the public interest by ensuring that an appropriate contribution is made towards the provision of</w:t>
      </w:r>
      <w:r w:rsidRPr="00D17888">
        <w:t xml:space="preserve"> </w:t>
      </w:r>
      <w:r w:rsidR="00DC7798">
        <w:t xml:space="preserve">transport </w:t>
      </w:r>
      <w:r w:rsidRPr="00D17888">
        <w:t>infrastructure</w:t>
      </w:r>
      <w:r w:rsidR="00DC7798">
        <w:t xml:space="preserve"> and public </w:t>
      </w:r>
      <w:r w:rsidRPr="00D17888">
        <w:t xml:space="preserve">facilities </w:t>
      </w:r>
      <w:r w:rsidRPr="00D17888">
        <w:rPr>
          <w:rFonts w:cs="Arial"/>
        </w:rPr>
        <w:t xml:space="preserve">to satisfy needs that arise from development of the </w:t>
      </w:r>
      <w:r>
        <w:rPr>
          <w:rFonts w:cs="Arial"/>
        </w:rPr>
        <w:t xml:space="preserve">Subject </w:t>
      </w:r>
      <w:r w:rsidRPr="00D17888">
        <w:rPr>
          <w:rFonts w:cs="Arial"/>
        </w:rPr>
        <w:t>Land.</w:t>
      </w:r>
    </w:p>
    <w:p w:rsidR="00507ACC" w:rsidRPr="00D17888" w:rsidRDefault="00507ACC" w:rsidP="00507ACC">
      <w:pPr>
        <w:rPr>
          <w:rFonts w:cs="Arial"/>
          <w:szCs w:val="22"/>
        </w:rPr>
      </w:pPr>
    </w:p>
    <w:p w:rsidR="00507ACC" w:rsidRPr="00D17888" w:rsidRDefault="00507ACC" w:rsidP="00507ACC">
      <w:pPr>
        <w:pStyle w:val="SubtitleTNR"/>
        <w:rPr>
          <w:rFonts w:ascii="Arial" w:hAnsi="Arial" w:cs="Arial"/>
          <w:sz w:val="22"/>
          <w:szCs w:val="22"/>
        </w:rPr>
      </w:pPr>
      <w:r w:rsidRPr="00D17888">
        <w:rPr>
          <w:rFonts w:ascii="Arial" w:hAnsi="Arial" w:cs="Arial"/>
          <w:sz w:val="22"/>
          <w:szCs w:val="22"/>
        </w:rPr>
        <w:t>How the Planning Agreement Promotes the Objects of the Act</w:t>
      </w:r>
    </w:p>
    <w:p w:rsidR="00507ACC" w:rsidRDefault="00507ACC" w:rsidP="00507ACC">
      <w:bookmarkStart w:id="0" w:name="_Hlk512326989"/>
      <w:r w:rsidRPr="00247A83">
        <w:t xml:space="preserve">The Planning Agreement promotes the objects </w:t>
      </w:r>
      <w:bookmarkStart w:id="1" w:name="pt.1-sec.5"/>
      <w:r w:rsidRPr="00247A83">
        <w:t>of the Act, as outlined in section 1.3 of the Act, by:</w:t>
      </w:r>
    </w:p>
    <w:p w:rsidR="00323933" w:rsidRPr="00247A83" w:rsidRDefault="00323933" w:rsidP="00507ACC"/>
    <w:p w:rsidR="00507ACC" w:rsidRPr="00247A83" w:rsidRDefault="00507ACC" w:rsidP="00507ACC">
      <w:pPr>
        <w:pStyle w:val="ListBullet"/>
        <w:tabs>
          <w:tab w:val="clear" w:pos="964"/>
        </w:tabs>
        <w:ind w:left="440" w:hanging="440"/>
        <w:rPr>
          <w:rFonts w:ascii="Arial" w:hAnsi="Arial"/>
          <w:sz w:val="20"/>
          <w:szCs w:val="20"/>
        </w:rPr>
      </w:pPr>
      <w:r w:rsidRPr="00247A83">
        <w:rPr>
          <w:rFonts w:ascii="Arial" w:hAnsi="Arial"/>
          <w:sz w:val="20"/>
          <w:szCs w:val="20"/>
        </w:rPr>
        <w:t>promoting of the orderly and economic use and development of land.</w:t>
      </w:r>
    </w:p>
    <w:bookmarkEnd w:id="0"/>
    <w:bookmarkEnd w:id="1"/>
    <w:p w:rsidR="00507ACC" w:rsidRPr="00247A83" w:rsidRDefault="00507ACC" w:rsidP="00507ACC">
      <w:pPr>
        <w:pStyle w:val="ListBullet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247A83">
        <w:rPr>
          <w:rFonts w:ascii="Arial" w:hAnsi="Arial"/>
          <w:sz w:val="20"/>
          <w:szCs w:val="20"/>
        </w:rPr>
        <w:t>The Planning Agreement promotes the objects of the Act set out above by requiring that the Developer makes contribution</w:t>
      </w:r>
      <w:r w:rsidR="00DC7798">
        <w:rPr>
          <w:rFonts w:ascii="Arial" w:hAnsi="Arial"/>
          <w:sz w:val="20"/>
          <w:szCs w:val="20"/>
        </w:rPr>
        <w:t>s</w:t>
      </w:r>
      <w:r w:rsidRPr="00247A83">
        <w:rPr>
          <w:rFonts w:ascii="Arial" w:hAnsi="Arial"/>
          <w:sz w:val="20"/>
          <w:szCs w:val="20"/>
        </w:rPr>
        <w:t xml:space="preserve"> towards the provision of </w:t>
      </w:r>
      <w:r w:rsidR="00DC7798">
        <w:rPr>
          <w:rFonts w:ascii="Arial" w:hAnsi="Arial"/>
          <w:sz w:val="20"/>
          <w:szCs w:val="20"/>
        </w:rPr>
        <w:t xml:space="preserve">transport </w:t>
      </w:r>
      <w:r w:rsidRPr="00247A83">
        <w:rPr>
          <w:rFonts w:ascii="Arial" w:hAnsi="Arial"/>
          <w:sz w:val="20"/>
          <w:szCs w:val="20"/>
        </w:rPr>
        <w:t>infrastru</w:t>
      </w:r>
      <w:r w:rsidR="0086622C">
        <w:rPr>
          <w:rFonts w:ascii="Arial" w:hAnsi="Arial"/>
          <w:sz w:val="20"/>
          <w:szCs w:val="20"/>
        </w:rPr>
        <w:t>cture and</w:t>
      </w:r>
      <w:r w:rsidR="00323933">
        <w:rPr>
          <w:rFonts w:ascii="Arial" w:hAnsi="Arial"/>
          <w:sz w:val="20"/>
          <w:szCs w:val="20"/>
        </w:rPr>
        <w:t xml:space="preserve"> </w:t>
      </w:r>
      <w:r w:rsidR="00DC7798">
        <w:rPr>
          <w:rFonts w:ascii="Arial" w:hAnsi="Arial"/>
          <w:sz w:val="20"/>
          <w:szCs w:val="20"/>
        </w:rPr>
        <w:t xml:space="preserve">public </w:t>
      </w:r>
      <w:r w:rsidR="00323933">
        <w:rPr>
          <w:rFonts w:ascii="Arial" w:hAnsi="Arial"/>
          <w:sz w:val="20"/>
          <w:szCs w:val="20"/>
        </w:rPr>
        <w:t>facilities</w:t>
      </w:r>
      <w:r w:rsidR="0086622C">
        <w:rPr>
          <w:rFonts w:ascii="Arial" w:hAnsi="Arial"/>
          <w:sz w:val="20"/>
          <w:szCs w:val="20"/>
        </w:rPr>
        <w:t>.</w:t>
      </w:r>
    </w:p>
    <w:p w:rsidR="00507ACC" w:rsidRPr="00247A83" w:rsidRDefault="00507ACC" w:rsidP="00507ACC">
      <w:r w:rsidRPr="00247A83">
        <w:t xml:space="preserve">The Developer’s offer to contribute towards the provision of transport infrastructure and </w:t>
      </w:r>
      <w:r w:rsidR="00DC7798">
        <w:t xml:space="preserve">designated State public infrastructure </w:t>
      </w:r>
      <w:r w:rsidRPr="00247A83">
        <w:t>will have a positive public impact as funds from the Developer</w:t>
      </w:r>
      <w:r w:rsidR="00DC7798">
        <w:t>,</w:t>
      </w:r>
      <w:r w:rsidRPr="00247A83">
        <w:t xml:space="preserve"> the </w:t>
      </w:r>
      <w:r w:rsidR="00DC7798">
        <w:t xml:space="preserve">road works </w:t>
      </w:r>
      <w:r w:rsidRPr="00247A83">
        <w:t>and the land contribution will contribute to the provision of infrastructure</w:t>
      </w:r>
      <w:r w:rsidR="00DC7798">
        <w:t xml:space="preserve"> and public</w:t>
      </w:r>
      <w:r w:rsidRPr="00247A83">
        <w:t xml:space="preserve"> facilities </w:t>
      </w:r>
      <w:r w:rsidR="00EB65AF">
        <w:t xml:space="preserve">within the Subject Land and in the broader </w:t>
      </w:r>
      <w:r w:rsidR="00DC7798">
        <w:t xml:space="preserve">Marrickville </w:t>
      </w:r>
      <w:r w:rsidR="00EB65AF">
        <w:t>LGA.</w:t>
      </w:r>
    </w:p>
    <w:p w:rsidR="00507ACC" w:rsidRPr="00D17888" w:rsidRDefault="00507ACC" w:rsidP="00507ACC"/>
    <w:p w:rsidR="00507ACC" w:rsidRPr="00D17888" w:rsidRDefault="00507ACC" w:rsidP="00507ACC">
      <w:pPr>
        <w:pStyle w:val="SubtitleTNR"/>
        <w:rPr>
          <w:rFonts w:ascii="Arial" w:hAnsi="Arial" w:cs="Arial"/>
          <w:sz w:val="22"/>
          <w:szCs w:val="22"/>
        </w:rPr>
      </w:pPr>
      <w:r w:rsidRPr="00D17888">
        <w:rPr>
          <w:rFonts w:ascii="Arial" w:hAnsi="Arial" w:cs="Arial"/>
          <w:sz w:val="22"/>
          <w:szCs w:val="22"/>
        </w:rPr>
        <w:t xml:space="preserve">Requirements relating to </w:t>
      </w:r>
      <w:r>
        <w:rPr>
          <w:rFonts w:ascii="Arial" w:hAnsi="Arial" w:cs="Arial"/>
          <w:sz w:val="22"/>
          <w:szCs w:val="22"/>
        </w:rPr>
        <w:t xml:space="preserve">Construction, </w:t>
      </w:r>
      <w:r w:rsidRPr="00D17888">
        <w:rPr>
          <w:rFonts w:ascii="Arial" w:hAnsi="Arial" w:cs="Arial"/>
          <w:sz w:val="22"/>
          <w:szCs w:val="22"/>
        </w:rPr>
        <w:t>Occupation and Subdivision Certificates</w:t>
      </w:r>
    </w:p>
    <w:p w:rsidR="00EB65AF" w:rsidRPr="00247A83" w:rsidRDefault="00EB65AF" w:rsidP="00EB65AF">
      <w:pPr>
        <w:pStyle w:val="ListBullet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247A83">
        <w:rPr>
          <w:rFonts w:ascii="Arial" w:hAnsi="Arial"/>
          <w:sz w:val="20"/>
          <w:szCs w:val="20"/>
        </w:rPr>
        <w:t>The Planning Agreement does not specify requirements that must be complied with pr</w:t>
      </w:r>
      <w:r>
        <w:rPr>
          <w:rFonts w:ascii="Arial" w:hAnsi="Arial"/>
          <w:sz w:val="20"/>
          <w:szCs w:val="20"/>
        </w:rPr>
        <w:t>ior to the issue of a</w:t>
      </w:r>
      <w:r w:rsidRPr="00247A83">
        <w:rPr>
          <w:rFonts w:ascii="Arial" w:hAnsi="Arial"/>
          <w:sz w:val="20"/>
          <w:szCs w:val="20"/>
        </w:rPr>
        <w:t xml:space="preserve"> </w:t>
      </w:r>
      <w:r w:rsidR="00DC7798">
        <w:rPr>
          <w:rFonts w:ascii="Arial" w:hAnsi="Arial"/>
          <w:sz w:val="20"/>
          <w:szCs w:val="20"/>
        </w:rPr>
        <w:t xml:space="preserve">subdivision </w:t>
      </w:r>
      <w:r w:rsidRPr="00247A83">
        <w:rPr>
          <w:rFonts w:ascii="Arial" w:hAnsi="Arial"/>
          <w:sz w:val="20"/>
          <w:szCs w:val="20"/>
        </w:rPr>
        <w:t xml:space="preserve">certificate. </w:t>
      </w:r>
    </w:p>
    <w:p w:rsidR="00047D1A" w:rsidRDefault="00047D1A" w:rsidP="00507ACC">
      <w:pPr>
        <w:pStyle w:val="ListBullet"/>
        <w:numPr>
          <w:ilvl w:val="0"/>
          <w:numId w:val="0"/>
        </w:numPr>
        <w:rPr>
          <w:rFonts w:ascii="Arial" w:hAnsi="Arial"/>
          <w:sz w:val="20"/>
          <w:szCs w:val="20"/>
        </w:rPr>
      </w:pPr>
      <w:bookmarkStart w:id="2" w:name="_Hlk520822849"/>
      <w:r>
        <w:rPr>
          <w:rFonts w:ascii="Arial" w:hAnsi="Arial"/>
          <w:sz w:val="20"/>
          <w:szCs w:val="20"/>
        </w:rPr>
        <w:t xml:space="preserve">Restrictions on the issue of construction certificates and occupation certificates apply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5960"/>
      </w:tblGrid>
      <w:tr w:rsidR="00047D1A" w:rsidRPr="00047D1A" w:rsidTr="00CB70C8">
        <w:tc>
          <w:tcPr>
            <w:tcW w:w="3115" w:type="dxa"/>
          </w:tcPr>
          <w:p w:rsidR="00047D1A" w:rsidRPr="00047D1A" w:rsidRDefault="00047D1A" w:rsidP="00CB70C8">
            <w:pPr>
              <w:pStyle w:val="HRScheduleSubHead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1A">
              <w:rPr>
                <w:rFonts w:ascii="Arial" w:hAnsi="Arial" w:cs="Arial"/>
                <w:sz w:val="20"/>
                <w:szCs w:val="20"/>
              </w:rPr>
              <w:t>Restriction</w:t>
            </w:r>
          </w:p>
        </w:tc>
        <w:tc>
          <w:tcPr>
            <w:tcW w:w="6094" w:type="dxa"/>
          </w:tcPr>
          <w:p w:rsidR="00047D1A" w:rsidRPr="00047D1A" w:rsidRDefault="00047D1A" w:rsidP="00CB70C8">
            <w:pPr>
              <w:pStyle w:val="HRScheduleSubHead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1A">
              <w:rPr>
                <w:rFonts w:ascii="Arial" w:hAnsi="Arial" w:cs="Arial"/>
                <w:sz w:val="20"/>
                <w:szCs w:val="20"/>
              </w:rPr>
              <w:t>Obligations to be fulfilled by the Developer</w:t>
            </w:r>
          </w:p>
        </w:tc>
      </w:tr>
      <w:tr w:rsidR="00047D1A" w:rsidRPr="00047D1A" w:rsidTr="00CB70C8">
        <w:tc>
          <w:tcPr>
            <w:tcW w:w="3115" w:type="dxa"/>
          </w:tcPr>
          <w:p w:rsidR="00047D1A" w:rsidRPr="00047D1A" w:rsidRDefault="00047D1A" w:rsidP="00CB70C8">
            <w:pPr>
              <w:pStyle w:val="HRScheduleSubHead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>Construction Certificate in respect of the 300</w:t>
            </w:r>
            <w:r w:rsidRPr="00047D1A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th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 Final Lot</w:t>
            </w:r>
          </w:p>
        </w:tc>
        <w:tc>
          <w:tcPr>
            <w:tcW w:w="6094" w:type="dxa"/>
          </w:tcPr>
          <w:p w:rsidR="00047D1A" w:rsidRPr="00047D1A" w:rsidRDefault="00047D1A" w:rsidP="00047D1A">
            <w:pPr>
              <w:pStyle w:val="HRScheduleSubHead"/>
              <w:numPr>
                <w:ilvl w:val="0"/>
                <w:numId w:val="17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completion of obligations relating to the dedication land 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>in clause 4 of th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 Schedule 4; and</w:t>
            </w:r>
          </w:p>
          <w:p w:rsidR="00047D1A" w:rsidRPr="00047D1A" w:rsidRDefault="00047D1A" w:rsidP="00047D1A">
            <w:pPr>
              <w:pStyle w:val="HRScheduleSubHead"/>
              <w:numPr>
                <w:ilvl w:val="0"/>
                <w:numId w:val="17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Entry into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works authorisation deed with RMS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047D1A" w:rsidRPr="00047D1A" w:rsidTr="00CB70C8">
        <w:tc>
          <w:tcPr>
            <w:tcW w:w="3115" w:type="dxa"/>
          </w:tcPr>
          <w:p w:rsidR="00047D1A" w:rsidRPr="00047D1A" w:rsidRDefault="00047D1A" w:rsidP="00CB70C8">
            <w:pPr>
              <w:pStyle w:val="HRScheduleSubHead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>Occupation Certificate in respect of the 300</w:t>
            </w:r>
            <w:r w:rsidRPr="00047D1A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th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 Final Lot </w:t>
            </w:r>
          </w:p>
        </w:tc>
        <w:tc>
          <w:tcPr>
            <w:tcW w:w="6094" w:type="dxa"/>
          </w:tcPr>
          <w:p w:rsidR="00047D1A" w:rsidRPr="00047D1A" w:rsidRDefault="00047D1A" w:rsidP="00047D1A">
            <w:pPr>
              <w:pStyle w:val="HRScheduleSubHead"/>
              <w:numPr>
                <w:ilvl w:val="0"/>
                <w:numId w:val="1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ractical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c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ompletion of the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oad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w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>orks; and</w:t>
            </w:r>
          </w:p>
          <w:p w:rsidR="00047D1A" w:rsidRPr="00047D1A" w:rsidRDefault="00047D1A" w:rsidP="00047D1A">
            <w:pPr>
              <w:pStyle w:val="HRScheduleSubHead"/>
              <w:numPr>
                <w:ilvl w:val="0"/>
                <w:numId w:val="1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edication of the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dedication land</w:t>
            </w:r>
            <w:r w:rsidRPr="00047D1A">
              <w:rPr>
                <w:rFonts w:ascii="Arial" w:hAnsi="Arial" w:cs="Arial"/>
                <w:b w:val="0"/>
                <w:sz w:val="20"/>
                <w:szCs w:val="20"/>
              </w:rPr>
              <w:t xml:space="preserve"> by the Developer to the Minister or the Minister’s nominee.</w:t>
            </w:r>
          </w:p>
        </w:tc>
      </w:tr>
    </w:tbl>
    <w:p w:rsidR="00507ACC" w:rsidRPr="00247A83" w:rsidRDefault="00507ACC" w:rsidP="00507ACC">
      <w:pPr>
        <w:pStyle w:val="ListBullet"/>
        <w:numPr>
          <w:ilvl w:val="0"/>
          <w:numId w:val="0"/>
        </w:numPr>
        <w:rPr>
          <w:rFonts w:ascii="Arial" w:hAnsi="Arial"/>
          <w:sz w:val="20"/>
          <w:szCs w:val="20"/>
        </w:rPr>
      </w:pPr>
    </w:p>
    <w:bookmarkEnd w:id="2"/>
    <w:p w:rsidR="00507ACC" w:rsidRPr="0077407F" w:rsidRDefault="00507ACC" w:rsidP="00507ACC">
      <w:pPr>
        <w:pStyle w:val="ListBullet"/>
        <w:numPr>
          <w:ilvl w:val="0"/>
          <w:numId w:val="0"/>
        </w:numPr>
        <w:rPr>
          <w:rFonts w:ascii="Arial" w:hAnsi="Arial"/>
        </w:rPr>
      </w:pPr>
    </w:p>
    <w:p w:rsidR="00507ACC" w:rsidRPr="00D17888" w:rsidRDefault="00507ACC" w:rsidP="00507ACC"/>
    <w:p w:rsidR="00507ACC" w:rsidRDefault="00507ACC" w:rsidP="00507ACC"/>
    <w:p w:rsidR="00A74171" w:rsidRDefault="00A74171" w:rsidP="00BD5EE6">
      <w:pPr>
        <w:pStyle w:val="AN"/>
      </w:pPr>
      <w:bookmarkStart w:id="3" w:name="_GoBack"/>
      <w:bookmarkEnd w:id="3"/>
    </w:p>
    <w:sectPr w:rsidR="00A74171" w:rsidSect="00F4482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E66" w:rsidRDefault="00BF3E66" w:rsidP="00D1509C">
      <w:r>
        <w:separator/>
      </w:r>
    </w:p>
  </w:endnote>
  <w:endnote w:type="continuationSeparator" w:id="0">
    <w:p w:rsidR="00BF3E66" w:rsidRDefault="00BF3E66" w:rsidP="00D1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9C" w:rsidRDefault="00F44821" w:rsidP="00D1509C">
    <w:pPr>
      <w:pStyle w:val="AF"/>
    </w:pPr>
    <w:r>
      <w:tab/>
    </w:r>
    <w:r w:rsidR="00C978D4">
      <w:fldChar w:fldCharType="begin"/>
    </w:r>
    <w:r w:rsidR="00C978D4">
      <w:instrText xml:space="preserve"> PAGE   \* MERGEFORMAT </w:instrText>
    </w:r>
    <w:r w:rsidR="00C978D4">
      <w:fldChar w:fldCharType="separate"/>
    </w:r>
    <w:r w:rsidR="00B94D81">
      <w:rPr>
        <w:noProof/>
      </w:rPr>
      <w:t>2</w:t>
    </w:r>
    <w:r w:rsidR="00C978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E66" w:rsidRDefault="00BF3E66" w:rsidP="00D1509C">
      <w:r>
        <w:separator/>
      </w:r>
    </w:p>
  </w:footnote>
  <w:footnote w:type="continuationSeparator" w:id="0">
    <w:p w:rsidR="00BF3E66" w:rsidRDefault="00BF3E66" w:rsidP="00D1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D81" w:rsidRDefault="00B94D8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-876300</wp:posOffset>
              </wp:positionH>
              <wp:positionV relativeFrom="paragraph">
                <wp:posOffset>-398780</wp:posOffset>
              </wp:positionV>
              <wp:extent cx="12700" cy="12700"/>
              <wp:effectExtent l="0" t="0" r="0" b="0"/>
              <wp:wrapNone/>
              <wp:docPr id="1" name="WMARKtb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" cy="12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4D81" w:rsidRDefault="00B94D81"/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MARKtb1" o:spid="_x0000_s1026" type="#_x0000_t202" style="position:absolute;margin-left:-69pt;margin-top:-31.4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" filled="f" strokeweight=".5pt">
              <v:textbox style="layout-flow:vertical-ideographic">
                <w:txbxContent>
                  <w:p w:rsidR="00B94D81" w:rsidRDefault="00B94D8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2ECD"/>
    <w:multiLevelType w:val="hybridMultilevel"/>
    <w:tmpl w:val="6E6E0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898"/>
    <w:multiLevelType w:val="hybridMultilevel"/>
    <w:tmpl w:val="F83E2A2E"/>
    <w:lvl w:ilvl="0" w:tplc="208AC494">
      <w:start w:val="1"/>
      <w:numFmt w:val="lowerRoman"/>
      <w:lvlText w:val="(%1)"/>
      <w:lvlJc w:val="left"/>
      <w:pPr>
        <w:ind w:left="1080" w:hanging="720"/>
      </w:pPr>
      <w:rPr>
        <w:rFonts w:cs="Aria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09F5"/>
    <w:multiLevelType w:val="hybridMultilevel"/>
    <w:tmpl w:val="66E24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4C7"/>
    <w:multiLevelType w:val="multilevel"/>
    <w:tmpl w:val="06AA0A0C"/>
    <w:styleLink w:val="AddScheduleHeadingList"/>
    <w:lvl w:ilvl="0">
      <w:start w:val="1"/>
      <w:numFmt w:val="decimal"/>
      <w:pStyle w:val="ADS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D70724"/>
    <w:multiLevelType w:val="multilevel"/>
    <w:tmpl w:val="E5B4CC16"/>
    <w:styleLink w:val="AddisonsHeadingList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C34AEF"/>
    <w:multiLevelType w:val="multilevel"/>
    <w:tmpl w:val="5834383A"/>
    <w:numStyleLink w:val="AddisonsSublevelList"/>
  </w:abstractNum>
  <w:abstractNum w:abstractNumId="6" w15:restartNumberingAfterBreak="0">
    <w:nsid w:val="39954541"/>
    <w:multiLevelType w:val="multilevel"/>
    <w:tmpl w:val="DBF86902"/>
    <w:lvl w:ilvl="0">
      <w:start w:val="1"/>
      <w:numFmt w:val="decimal"/>
      <w:pStyle w:val="HRScheduleHdg"/>
      <w:suff w:val="nothing"/>
      <w:lvlText w:val="Schedule %1"/>
      <w:lvlJc w:val="left"/>
      <w:pPr>
        <w:ind w:left="1134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RScheduleItem"/>
      <w:lvlText w:val="Item %2"/>
      <w:lvlJc w:val="left"/>
      <w:pPr>
        <w:tabs>
          <w:tab w:val="num" w:pos="1134"/>
        </w:tabs>
        <w:ind w:left="1134" w:hanging="113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pStyle w:val="HRScheduleListL1"/>
      <w:lvlText w:val="%3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HRScheduleHeadList"/>
      <w:lvlText w:val="%4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RScheduleSubHead"/>
      <w:lvlText w:val="%4.%5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RScheduleL3"/>
      <w:lvlText w:val="(%6)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HRScheduleL4"/>
      <w:lvlText w:val="(%7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pStyle w:val="HRScheduleL5"/>
      <w:lvlText w:val="(%8)"/>
      <w:lvlJc w:val="left"/>
      <w:pPr>
        <w:ind w:left="226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HRScheduleItemNoTab"/>
      <w:suff w:val="nothing"/>
      <w:lvlText w:val="Item 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C0465C"/>
    <w:multiLevelType w:val="multilevel"/>
    <w:tmpl w:val="5834383A"/>
    <w:styleLink w:val="AddisonsSublevelList"/>
    <w:lvl w:ilvl="0">
      <w:start w:val="1"/>
      <w:numFmt w:val="decimal"/>
      <w:pStyle w:val="AHS1"/>
      <w:lvlText w:val="%1."/>
      <w:lvlJc w:val="left"/>
      <w:pPr>
        <w:ind w:left="851" w:hanging="851"/>
      </w:pPr>
      <w:rPr>
        <w:rFonts w:ascii="Arial" w:hAnsi="Arial" w:hint="default"/>
        <w:sz w:val="20"/>
      </w:rPr>
    </w:lvl>
    <w:lvl w:ilvl="1">
      <w:start w:val="1"/>
      <w:numFmt w:val="lowerLetter"/>
      <w:pStyle w:val="AHS2"/>
      <w:lvlText w:val="(%2)"/>
      <w:lvlJc w:val="left"/>
      <w:pPr>
        <w:ind w:left="1701" w:hanging="850"/>
      </w:pPr>
      <w:rPr>
        <w:rFonts w:hint="default"/>
      </w:rPr>
    </w:lvl>
    <w:lvl w:ilvl="2">
      <w:start w:val="1"/>
      <w:numFmt w:val="lowerRoman"/>
      <w:pStyle w:val="AHS3"/>
      <w:lvlText w:val="(%3)"/>
      <w:lvlJc w:val="left"/>
      <w:pPr>
        <w:ind w:left="2552" w:hanging="851"/>
      </w:pPr>
      <w:rPr>
        <w:rFonts w:hint="default"/>
      </w:rPr>
    </w:lvl>
    <w:lvl w:ilvl="3">
      <w:start w:val="1"/>
      <w:numFmt w:val="upperLetter"/>
      <w:pStyle w:val="AHS4"/>
      <w:lvlText w:val="(%4)"/>
      <w:lvlJc w:val="left"/>
      <w:pPr>
        <w:ind w:left="3402" w:hanging="850"/>
      </w:pPr>
      <w:rPr>
        <w:rFonts w:hint="default"/>
      </w:rPr>
    </w:lvl>
    <w:lvl w:ilvl="4">
      <w:start w:val="1"/>
      <w:numFmt w:val="upperRoman"/>
      <w:pStyle w:val="AHS5"/>
      <w:lvlText w:val="(%5)"/>
      <w:lvlJc w:val="left"/>
      <w:pPr>
        <w:ind w:left="4253" w:hanging="85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DB10140"/>
    <w:multiLevelType w:val="multilevel"/>
    <w:tmpl w:val="C60C58DE"/>
    <w:lvl w:ilvl="0">
      <w:start w:val="1"/>
      <w:numFmt w:val="lowerLetter"/>
      <w:pStyle w:val="ASL1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ASL2"/>
      <w:lvlText w:val="(%2)"/>
      <w:lvlJc w:val="left"/>
      <w:pPr>
        <w:ind w:left="1701" w:hanging="850"/>
      </w:pPr>
      <w:rPr>
        <w:rFonts w:hint="default"/>
      </w:rPr>
    </w:lvl>
    <w:lvl w:ilvl="2">
      <w:start w:val="1"/>
      <w:numFmt w:val="upperLetter"/>
      <w:pStyle w:val="ASL3"/>
      <w:lvlText w:val="(%3)"/>
      <w:lvlJc w:val="left"/>
      <w:pPr>
        <w:ind w:left="2552" w:hanging="851"/>
      </w:pPr>
      <w:rPr>
        <w:rFonts w:hint="default"/>
      </w:rPr>
    </w:lvl>
    <w:lvl w:ilvl="3">
      <w:start w:val="1"/>
      <w:numFmt w:val="upperRoman"/>
      <w:pStyle w:val="ASL4"/>
      <w:lvlText w:val="(%4)"/>
      <w:lvlJc w:val="left"/>
      <w:pPr>
        <w:ind w:left="3402" w:hanging="85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9" w15:restartNumberingAfterBreak="0">
    <w:nsid w:val="45482555"/>
    <w:multiLevelType w:val="multilevel"/>
    <w:tmpl w:val="5448A9CC"/>
    <w:styleLink w:val="AddisonsNumberedList"/>
    <w:lvl w:ilvl="0">
      <w:start w:val="1"/>
      <w:numFmt w:val="decimal"/>
      <w:pStyle w:val="ANH1"/>
      <w:lvlText w:val="%1."/>
      <w:lvlJc w:val="left"/>
      <w:pPr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ANH2"/>
      <w:lvlText w:val="%1.%2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lowerLetter"/>
      <w:pStyle w:val="ANH3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ANH4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ANH5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ANH6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A9F73B4"/>
    <w:multiLevelType w:val="hybridMultilevel"/>
    <w:tmpl w:val="0406D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30F27"/>
    <w:multiLevelType w:val="hybridMultilevel"/>
    <w:tmpl w:val="FA6EF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84651"/>
    <w:multiLevelType w:val="hybridMultilevel"/>
    <w:tmpl w:val="B6AC5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A0D87"/>
    <w:multiLevelType w:val="multilevel"/>
    <w:tmpl w:val="5448A9CC"/>
    <w:numStyleLink w:val="AddisonsNumberedList"/>
  </w:abstractNum>
  <w:abstractNum w:abstractNumId="14" w15:restartNumberingAfterBreak="0">
    <w:nsid w:val="6FA270C1"/>
    <w:multiLevelType w:val="multilevel"/>
    <w:tmpl w:val="06AA0A0C"/>
    <w:numStyleLink w:val="AddScheduleHeadingList"/>
  </w:abstractNum>
  <w:abstractNum w:abstractNumId="15" w15:restartNumberingAfterBreak="0">
    <w:nsid w:val="714B1592"/>
    <w:multiLevelType w:val="hybridMultilevel"/>
    <w:tmpl w:val="8DE290B6"/>
    <w:lvl w:ilvl="0" w:tplc="FFFFFFFF">
      <w:start w:val="1"/>
      <w:numFmt w:val="upperLetter"/>
      <w:pStyle w:val="ARP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5053C"/>
    <w:multiLevelType w:val="multilevel"/>
    <w:tmpl w:val="D60C3738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F9A1C6A"/>
    <w:multiLevelType w:val="multilevel"/>
    <w:tmpl w:val="AD4CD0DA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5"/>
  </w:num>
  <w:num w:numId="6">
    <w:abstractNumId w:val="8"/>
  </w:num>
  <w:num w:numId="7">
    <w:abstractNumId w:val="3"/>
  </w:num>
  <w:num w:numId="8">
    <w:abstractNumId w:val="14"/>
  </w:num>
  <w:num w:numId="9">
    <w:abstractNumId w:val="13"/>
  </w:num>
  <w:num w:numId="10">
    <w:abstractNumId w:val="17"/>
  </w:num>
  <w:num w:numId="11">
    <w:abstractNumId w:val="16"/>
  </w:num>
  <w:num w:numId="12">
    <w:abstractNumId w:val="1"/>
  </w:num>
  <w:num w:numId="13">
    <w:abstractNumId w:val="10"/>
  </w:num>
  <w:num w:numId="14">
    <w:abstractNumId w:val="0"/>
  </w:num>
  <w:num w:numId="15">
    <w:abstractNumId w:val="2"/>
  </w:num>
  <w:num w:numId="16">
    <w:abstractNumId w:val="6"/>
  </w:num>
  <w:num w:numId="17">
    <w:abstractNumId w:val="11"/>
  </w:num>
  <w:num w:numId="1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85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66"/>
    <w:rsid w:val="00001DB2"/>
    <w:rsid w:val="00007674"/>
    <w:rsid w:val="00010BEB"/>
    <w:rsid w:val="0002297E"/>
    <w:rsid w:val="00027E09"/>
    <w:rsid w:val="0003525E"/>
    <w:rsid w:val="00044308"/>
    <w:rsid w:val="00047D1A"/>
    <w:rsid w:val="000843FC"/>
    <w:rsid w:val="0009602E"/>
    <w:rsid w:val="000A3EE8"/>
    <w:rsid w:val="000D40C0"/>
    <w:rsid w:val="000D73EF"/>
    <w:rsid w:val="000E186B"/>
    <w:rsid w:val="000F3B64"/>
    <w:rsid w:val="00111324"/>
    <w:rsid w:val="00130651"/>
    <w:rsid w:val="00166B7C"/>
    <w:rsid w:val="00174A4C"/>
    <w:rsid w:val="00181002"/>
    <w:rsid w:val="001B0BC2"/>
    <w:rsid w:val="001B4D35"/>
    <w:rsid w:val="00220844"/>
    <w:rsid w:val="00223247"/>
    <w:rsid w:val="00224F21"/>
    <w:rsid w:val="00226183"/>
    <w:rsid w:val="00231771"/>
    <w:rsid w:val="002347BE"/>
    <w:rsid w:val="002359C0"/>
    <w:rsid w:val="00237A2C"/>
    <w:rsid w:val="00247A83"/>
    <w:rsid w:val="00255373"/>
    <w:rsid w:val="002773C6"/>
    <w:rsid w:val="002E2073"/>
    <w:rsid w:val="00323933"/>
    <w:rsid w:val="00362BEE"/>
    <w:rsid w:val="00385BEE"/>
    <w:rsid w:val="003A1C83"/>
    <w:rsid w:val="003D5241"/>
    <w:rsid w:val="00454AD8"/>
    <w:rsid w:val="00454D56"/>
    <w:rsid w:val="00463F20"/>
    <w:rsid w:val="004A2417"/>
    <w:rsid w:val="004B1241"/>
    <w:rsid w:val="004D3CCA"/>
    <w:rsid w:val="00507ACC"/>
    <w:rsid w:val="00525831"/>
    <w:rsid w:val="00560E8F"/>
    <w:rsid w:val="005E473A"/>
    <w:rsid w:val="005E7724"/>
    <w:rsid w:val="00614AF3"/>
    <w:rsid w:val="00660908"/>
    <w:rsid w:val="00695C76"/>
    <w:rsid w:val="006B7525"/>
    <w:rsid w:val="00702C03"/>
    <w:rsid w:val="00730254"/>
    <w:rsid w:val="00765EED"/>
    <w:rsid w:val="007B586B"/>
    <w:rsid w:val="00811AE8"/>
    <w:rsid w:val="00824853"/>
    <w:rsid w:val="00844D8C"/>
    <w:rsid w:val="0086622C"/>
    <w:rsid w:val="0088650C"/>
    <w:rsid w:val="008B2EF9"/>
    <w:rsid w:val="008B7677"/>
    <w:rsid w:val="008F1DD0"/>
    <w:rsid w:val="0095417A"/>
    <w:rsid w:val="00970EAA"/>
    <w:rsid w:val="00990B96"/>
    <w:rsid w:val="009A3D83"/>
    <w:rsid w:val="009B38C5"/>
    <w:rsid w:val="009D2381"/>
    <w:rsid w:val="009E5CCE"/>
    <w:rsid w:val="009E7033"/>
    <w:rsid w:val="009F7945"/>
    <w:rsid w:val="00A17ABF"/>
    <w:rsid w:val="00A25E95"/>
    <w:rsid w:val="00A42818"/>
    <w:rsid w:val="00A505C7"/>
    <w:rsid w:val="00A74171"/>
    <w:rsid w:val="00A8191F"/>
    <w:rsid w:val="00AB50BF"/>
    <w:rsid w:val="00AB7B82"/>
    <w:rsid w:val="00AC7F65"/>
    <w:rsid w:val="00AD7294"/>
    <w:rsid w:val="00B01F23"/>
    <w:rsid w:val="00B3312A"/>
    <w:rsid w:val="00B34858"/>
    <w:rsid w:val="00B34DB8"/>
    <w:rsid w:val="00B36291"/>
    <w:rsid w:val="00B542FF"/>
    <w:rsid w:val="00B76B39"/>
    <w:rsid w:val="00B94D81"/>
    <w:rsid w:val="00BB6070"/>
    <w:rsid w:val="00BC1F91"/>
    <w:rsid w:val="00BD5EE6"/>
    <w:rsid w:val="00BE13DC"/>
    <w:rsid w:val="00BF3E66"/>
    <w:rsid w:val="00C13565"/>
    <w:rsid w:val="00C24AD8"/>
    <w:rsid w:val="00C35065"/>
    <w:rsid w:val="00C52CB3"/>
    <w:rsid w:val="00C60D5F"/>
    <w:rsid w:val="00C84483"/>
    <w:rsid w:val="00C91E08"/>
    <w:rsid w:val="00C978D4"/>
    <w:rsid w:val="00CB052B"/>
    <w:rsid w:val="00CC3666"/>
    <w:rsid w:val="00D135F1"/>
    <w:rsid w:val="00D1509C"/>
    <w:rsid w:val="00D2221E"/>
    <w:rsid w:val="00D3572D"/>
    <w:rsid w:val="00D54BCB"/>
    <w:rsid w:val="00D662EF"/>
    <w:rsid w:val="00D75E28"/>
    <w:rsid w:val="00D76752"/>
    <w:rsid w:val="00D93A19"/>
    <w:rsid w:val="00D9590E"/>
    <w:rsid w:val="00DA4EAC"/>
    <w:rsid w:val="00DB5E7E"/>
    <w:rsid w:val="00DC7798"/>
    <w:rsid w:val="00DF64E4"/>
    <w:rsid w:val="00DF676D"/>
    <w:rsid w:val="00E14638"/>
    <w:rsid w:val="00E600DA"/>
    <w:rsid w:val="00E66097"/>
    <w:rsid w:val="00E8727F"/>
    <w:rsid w:val="00E97293"/>
    <w:rsid w:val="00EA1581"/>
    <w:rsid w:val="00EB65AF"/>
    <w:rsid w:val="00ED233A"/>
    <w:rsid w:val="00F1056D"/>
    <w:rsid w:val="00F44821"/>
    <w:rsid w:val="00F60858"/>
    <w:rsid w:val="00F623D4"/>
    <w:rsid w:val="00F67683"/>
    <w:rsid w:val="00F82EAB"/>
    <w:rsid w:val="00F93C5F"/>
    <w:rsid w:val="00F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B66726"/>
  <w15:docId w15:val="{41C65FA1-8A8A-4573-937D-AFACFA22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0" w:unhideWhenUsed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D5EE6"/>
  </w:style>
  <w:style w:type="paragraph" w:styleId="Heading1">
    <w:name w:val="heading 1"/>
    <w:basedOn w:val="Normal"/>
    <w:next w:val="Normal"/>
    <w:link w:val="Heading1Char"/>
    <w:unhideWhenUsed/>
    <w:qFormat/>
    <w:rsid w:val="00277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77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E7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qFormat/>
    <w:rsid w:val="00507ACC"/>
    <w:pPr>
      <w:tabs>
        <w:tab w:val="num" w:pos="2892"/>
      </w:tabs>
      <w:spacing w:after="220"/>
      <w:ind w:left="2892" w:hanging="964"/>
      <w:outlineLvl w:val="3"/>
    </w:pPr>
    <w:rPr>
      <w:rFonts w:ascii="Times New Roman" w:eastAsia="Times New Roman" w:hAnsi="Times New Roman"/>
      <w:bCs/>
      <w:sz w:val="22"/>
      <w:szCs w:val="28"/>
    </w:rPr>
  </w:style>
  <w:style w:type="paragraph" w:styleId="Heading5">
    <w:name w:val="heading 5"/>
    <w:basedOn w:val="Normal"/>
    <w:link w:val="Heading5Char"/>
    <w:qFormat/>
    <w:rsid w:val="00507ACC"/>
    <w:pPr>
      <w:tabs>
        <w:tab w:val="num" w:pos="3856"/>
      </w:tabs>
      <w:spacing w:after="220"/>
      <w:ind w:left="3856" w:hanging="964"/>
      <w:outlineLvl w:val="4"/>
    </w:pPr>
    <w:rPr>
      <w:rFonts w:ascii="Times New Roman" w:eastAsia="Times New Roman" w:hAnsi="Times New Roman"/>
      <w:bCs/>
      <w:iCs/>
      <w:sz w:val="22"/>
      <w:szCs w:val="26"/>
    </w:rPr>
  </w:style>
  <w:style w:type="paragraph" w:styleId="Heading6">
    <w:name w:val="heading 6"/>
    <w:basedOn w:val="Normal"/>
    <w:link w:val="Heading6Char"/>
    <w:qFormat/>
    <w:rsid w:val="00507ACC"/>
    <w:pPr>
      <w:tabs>
        <w:tab w:val="num" w:pos="4820"/>
      </w:tabs>
      <w:spacing w:after="220"/>
      <w:ind w:left="4820" w:hanging="964"/>
      <w:outlineLvl w:val="5"/>
    </w:pPr>
    <w:rPr>
      <w:rFonts w:ascii="Times New Roman" w:eastAsia="Times New Roman" w:hAnsi="Times New Roman"/>
      <w:bCs/>
      <w:sz w:val="22"/>
      <w:szCs w:val="22"/>
    </w:rPr>
  </w:style>
  <w:style w:type="paragraph" w:styleId="Heading7">
    <w:name w:val="heading 7"/>
    <w:basedOn w:val="Normal"/>
    <w:link w:val="Heading7Char"/>
    <w:qFormat/>
    <w:rsid w:val="00507ACC"/>
    <w:pPr>
      <w:tabs>
        <w:tab w:val="num" w:pos="5783"/>
      </w:tabs>
      <w:spacing w:after="220"/>
      <w:ind w:left="5783" w:hanging="963"/>
      <w:outlineLvl w:val="6"/>
    </w:pPr>
    <w:rPr>
      <w:rFonts w:ascii="Times New Roman" w:eastAsia="Times New Roman" w:hAnsi="Times New Roman"/>
      <w:sz w:val="22"/>
      <w:szCs w:val="24"/>
    </w:rPr>
  </w:style>
  <w:style w:type="paragraph" w:styleId="Heading8">
    <w:name w:val="heading 8"/>
    <w:basedOn w:val="Normal"/>
    <w:link w:val="Heading8Char"/>
    <w:qFormat/>
    <w:rsid w:val="00507ACC"/>
    <w:pPr>
      <w:tabs>
        <w:tab w:val="num" w:pos="6747"/>
      </w:tabs>
      <w:spacing w:after="220"/>
      <w:ind w:left="6747" w:hanging="964"/>
      <w:outlineLvl w:val="7"/>
    </w:pPr>
    <w:rPr>
      <w:rFonts w:ascii="Times New Roman" w:eastAsia="Times New Roman" w:hAnsi="Times New Roman"/>
      <w:iCs/>
      <w:sz w:val="22"/>
      <w:szCs w:val="24"/>
    </w:rPr>
  </w:style>
  <w:style w:type="paragraph" w:styleId="Heading9">
    <w:name w:val="heading 9"/>
    <w:basedOn w:val="Normal"/>
    <w:next w:val="Normal"/>
    <w:link w:val="Heading9Char"/>
    <w:qFormat/>
    <w:rsid w:val="00507ACC"/>
    <w:pPr>
      <w:keepNext/>
      <w:spacing w:after="220"/>
      <w:outlineLvl w:val="8"/>
    </w:pPr>
    <w:rPr>
      <w:rFonts w:eastAsia="Times New Roman" w:cs="Arial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">
    <w:name w:val="AF"/>
    <w:basedOn w:val="Normal"/>
    <w:uiPriority w:val="5"/>
    <w:semiHidden/>
    <w:qFormat/>
    <w:rsid w:val="00D1509C"/>
    <w:pPr>
      <w:tabs>
        <w:tab w:val="right" w:pos="9063"/>
      </w:tabs>
    </w:pPr>
    <w:rPr>
      <w:rFonts w:eastAsia="Times New Roman"/>
      <w:sz w:val="16"/>
      <w:szCs w:val="24"/>
    </w:rPr>
  </w:style>
  <w:style w:type="paragraph" w:customStyle="1" w:styleId="AH">
    <w:name w:val="AH"/>
    <w:basedOn w:val="Normal"/>
    <w:uiPriority w:val="5"/>
    <w:semiHidden/>
    <w:qFormat/>
    <w:rsid w:val="00D1509C"/>
    <w:pPr>
      <w:tabs>
        <w:tab w:val="right" w:pos="9072"/>
      </w:tabs>
    </w:pPr>
    <w:rPr>
      <w:rFonts w:eastAsia="Times New Roman"/>
    </w:rPr>
  </w:style>
  <w:style w:type="numbering" w:customStyle="1" w:styleId="AddisonsHeadingList">
    <w:name w:val="AddisonsHeadingList"/>
    <w:uiPriority w:val="99"/>
    <w:rsid w:val="00F60858"/>
    <w:pPr>
      <w:numPr>
        <w:numId w:val="1"/>
      </w:numPr>
    </w:pPr>
  </w:style>
  <w:style w:type="numbering" w:customStyle="1" w:styleId="AddisonsNumberedList">
    <w:name w:val="AddisonsNumberedList"/>
    <w:uiPriority w:val="99"/>
    <w:rsid w:val="00F623D4"/>
    <w:pPr>
      <w:numPr>
        <w:numId w:val="3"/>
      </w:numPr>
    </w:pPr>
  </w:style>
  <w:style w:type="numbering" w:customStyle="1" w:styleId="AddisonsSublevelList">
    <w:name w:val="AddisonsSublevelList"/>
    <w:uiPriority w:val="99"/>
    <w:rsid w:val="00F60858"/>
    <w:pPr>
      <w:numPr>
        <w:numId w:val="2"/>
      </w:numPr>
    </w:pPr>
  </w:style>
  <w:style w:type="paragraph" w:customStyle="1" w:styleId="ABT">
    <w:name w:val="ABT"/>
    <w:basedOn w:val="Normal"/>
    <w:qFormat/>
    <w:rsid w:val="00C91E08"/>
    <w:pPr>
      <w:spacing w:after="240"/>
      <w:jc w:val="both"/>
    </w:pPr>
    <w:rPr>
      <w:rFonts w:eastAsia="Times New Roman"/>
      <w:szCs w:val="24"/>
    </w:rPr>
  </w:style>
  <w:style w:type="paragraph" w:customStyle="1" w:styleId="ABTI">
    <w:name w:val="ABTI"/>
    <w:basedOn w:val="Normal"/>
    <w:qFormat/>
    <w:rsid w:val="00D1509C"/>
    <w:pPr>
      <w:tabs>
        <w:tab w:val="left" w:pos="567"/>
      </w:tabs>
      <w:suppressAutoHyphens/>
      <w:spacing w:after="240"/>
      <w:ind w:left="851"/>
      <w:jc w:val="both"/>
    </w:pPr>
    <w:rPr>
      <w:rFonts w:eastAsia="Times New Roman"/>
      <w:szCs w:val="24"/>
    </w:rPr>
  </w:style>
  <w:style w:type="paragraph" w:customStyle="1" w:styleId="ADS">
    <w:name w:val="ADS"/>
    <w:basedOn w:val="Normal"/>
    <w:uiPriority w:val="4"/>
    <w:qFormat/>
    <w:rsid w:val="00454AD8"/>
    <w:pPr>
      <w:numPr>
        <w:numId w:val="8"/>
      </w:numPr>
      <w:spacing w:after="240"/>
    </w:pPr>
    <w:rPr>
      <w:rFonts w:eastAsia="Times New Roman"/>
      <w:b/>
      <w:sz w:val="24"/>
      <w:szCs w:val="24"/>
    </w:rPr>
  </w:style>
  <w:style w:type="paragraph" w:customStyle="1" w:styleId="AHS1">
    <w:name w:val="AHS1"/>
    <w:basedOn w:val="Normal"/>
    <w:uiPriority w:val="1"/>
    <w:qFormat/>
    <w:rsid w:val="00C24AD8"/>
    <w:pPr>
      <w:numPr>
        <w:numId w:val="4"/>
      </w:numPr>
      <w:spacing w:after="240"/>
      <w:jc w:val="both"/>
      <w:outlineLvl w:val="0"/>
    </w:pPr>
  </w:style>
  <w:style w:type="paragraph" w:customStyle="1" w:styleId="AHS2">
    <w:name w:val="AHS2"/>
    <w:basedOn w:val="AHS1"/>
    <w:uiPriority w:val="1"/>
    <w:qFormat/>
    <w:rsid w:val="00D135F1"/>
    <w:pPr>
      <w:numPr>
        <w:ilvl w:val="1"/>
      </w:numPr>
      <w:ind w:left="1702" w:hanging="851"/>
      <w:outlineLvl w:val="1"/>
    </w:pPr>
  </w:style>
  <w:style w:type="paragraph" w:customStyle="1" w:styleId="AHS3">
    <w:name w:val="AHS3"/>
    <w:basedOn w:val="AHS2"/>
    <w:uiPriority w:val="1"/>
    <w:qFormat/>
    <w:rsid w:val="00D135F1"/>
    <w:pPr>
      <w:numPr>
        <w:ilvl w:val="2"/>
      </w:numPr>
      <w:outlineLvl w:val="9"/>
    </w:pPr>
  </w:style>
  <w:style w:type="paragraph" w:customStyle="1" w:styleId="AHS4">
    <w:name w:val="AHS4"/>
    <w:basedOn w:val="AHS3"/>
    <w:uiPriority w:val="1"/>
    <w:qFormat/>
    <w:rsid w:val="00D1509C"/>
    <w:pPr>
      <w:numPr>
        <w:ilvl w:val="3"/>
      </w:numPr>
    </w:pPr>
  </w:style>
  <w:style w:type="paragraph" w:customStyle="1" w:styleId="AHS5">
    <w:name w:val="AHS5"/>
    <w:basedOn w:val="AHS4"/>
    <w:uiPriority w:val="1"/>
    <w:qFormat/>
    <w:rsid w:val="00D1509C"/>
    <w:pPr>
      <w:numPr>
        <w:ilvl w:val="4"/>
      </w:numPr>
    </w:pPr>
  </w:style>
  <w:style w:type="paragraph" w:customStyle="1" w:styleId="AN">
    <w:name w:val="AN"/>
    <w:basedOn w:val="Normal"/>
    <w:qFormat/>
    <w:rsid w:val="005E473A"/>
    <w:pPr>
      <w:spacing w:after="240"/>
      <w:jc w:val="both"/>
    </w:pPr>
  </w:style>
  <w:style w:type="paragraph" w:customStyle="1" w:styleId="ANH1">
    <w:name w:val="ANH1"/>
    <w:basedOn w:val="Normal"/>
    <w:uiPriority w:val="1"/>
    <w:qFormat/>
    <w:rsid w:val="00D135F1"/>
    <w:pPr>
      <w:keepNext/>
      <w:numPr>
        <w:numId w:val="9"/>
      </w:numPr>
      <w:spacing w:after="240"/>
      <w:jc w:val="both"/>
      <w:outlineLvl w:val="0"/>
    </w:pPr>
    <w:rPr>
      <w:b/>
    </w:rPr>
  </w:style>
  <w:style w:type="paragraph" w:customStyle="1" w:styleId="ANH2">
    <w:name w:val="ANH2"/>
    <w:basedOn w:val="ANH1"/>
    <w:uiPriority w:val="1"/>
    <w:qFormat/>
    <w:rsid w:val="00D54BCB"/>
    <w:pPr>
      <w:keepNext w:val="0"/>
      <w:numPr>
        <w:ilvl w:val="1"/>
      </w:numPr>
      <w:outlineLvl w:val="1"/>
    </w:pPr>
    <w:rPr>
      <w:b w:val="0"/>
    </w:rPr>
  </w:style>
  <w:style w:type="paragraph" w:customStyle="1" w:styleId="ANH3">
    <w:name w:val="ANH3"/>
    <w:basedOn w:val="ANH2"/>
    <w:uiPriority w:val="1"/>
    <w:qFormat/>
    <w:rsid w:val="00D135F1"/>
    <w:pPr>
      <w:numPr>
        <w:ilvl w:val="2"/>
      </w:numPr>
      <w:ind w:left="1702" w:hanging="851"/>
      <w:outlineLvl w:val="9"/>
    </w:pPr>
  </w:style>
  <w:style w:type="paragraph" w:customStyle="1" w:styleId="ANH4">
    <w:name w:val="ANH4"/>
    <w:basedOn w:val="ANH3"/>
    <w:uiPriority w:val="1"/>
    <w:qFormat/>
    <w:rsid w:val="00D1509C"/>
    <w:pPr>
      <w:numPr>
        <w:ilvl w:val="3"/>
      </w:numPr>
    </w:pPr>
  </w:style>
  <w:style w:type="paragraph" w:customStyle="1" w:styleId="ANH5">
    <w:name w:val="ANH5"/>
    <w:basedOn w:val="ANH4"/>
    <w:uiPriority w:val="1"/>
    <w:qFormat/>
    <w:rsid w:val="00D1509C"/>
    <w:pPr>
      <w:numPr>
        <w:ilvl w:val="4"/>
      </w:numPr>
    </w:pPr>
  </w:style>
  <w:style w:type="paragraph" w:customStyle="1" w:styleId="ANH6">
    <w:name w:val="ANH6"/>
    <w:basedOn w:val="ANH5"/>
    <w:uiPriority w:val="1"/>
    <w:qFormat/>
    <w:rsid w:val="0003525E"/>
    <w:pPr>
      <w:numPr>
        <w:ilvl w:val="5"/>
      </w:numPr>
    </w:pPr>
  </w:style>
  <w:style w:type="paragraph" w:customStyle="1" w:styleId="ARP">
    <w:name w:val="ARP"/>
    <w:basedOn w:val="Normal"/>
    <w:uiPriority w:val="3"/>
    <w:rsid w:val="00D1509C"/>
    <w:pPr>
      <w:numPr>
        <w:numId w:val="5"/>
      </w:numPr>
      <w:tabs>
        <w:tab w:val="left" w:pos="851"/>
      </w:tabs>
      <w:spacing w:after="240"/>
      <w:jc w:val="both"/>
    </w:pPr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277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77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E7033"/>
    <w:rPr>
      <w:color w:val="0000FF" w:themeColor="hyperlink"/>
      <w:u w:val="single"/>
    </w:rPr>
  </w:style>
  <w:style w:type="paragraph" w:styleId="TOC2">
    <w:name w:val="toc 2"/>
    <w:basedOn w:val="TOC1"/>
    <w:next w:val="Normal"/>
    <w:autoRedefine/>
    <w:uiPriority w:val="39"/>
    <w:unhideWhenUsed/>
    <w:rsid w:val="00A74171"/>
    <w:pPr>
      <w:spacing w:before="0" w:after="240"/>
    </w:pPr>
    <w:rPr>
      <w:caps w:val="0"/>
    </w:rPr>
  </w:style>
  <w:style w:type="paragraph" w:styleId="TOC1">
    <w:name w:val="toc 1"/>
    <w:basedOn w:val="Normal"/>
    <w:next w:val="Normal"/>
    <w:uiPriority w:val="39"/>
    <w:rsid w:val="00A74171"/>
    <w:pPr>
      <w:tabs>
        <w:tab w:val="right" w:leader="dot" w:pos="8789"/>
      </w:tabs>
      <w:spacing w:before="120" w:after="120"/>
      <w:ind w:left="851" w:hanging="851"/>
    </w:pPr>
    <w:rPr>
      <w:rFonts w:eastAsia="Times New Roman"/>
      <w:b/>
      <w:cap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E7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19"/>
    <w:unhideWhenUsed/>
    <w:rsid w:val="00D75E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19"/>
    <w:rsid w:val="00D75E28"/>
  </w:style>
  <w:style w:type="paragraph" w:styleId="Footer">
    <w:name w:val="footer"/>
    <w:basedOn w:val="Normal"/>
    <w:link w:val="FooterChar"/>
    <w:uiPriority w:val="19"/>
    <w:unhideWhenUsed/>
    <w:rsid w:val="00D75E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19"/>
    <w:rsid w:val="00D75E28"/>
  </w:style>
  <w:style w:type="paragraph" w:customStyle="1" w:styleId="ASL1">
    <w:name w:val="ASL1"/>
    <w:basedOn w:val="AN"/>
    <w:uiPriority w:val="5"/>
    <w:qFormat/>
    <w:rsid w:val="00044308"/>
    <w:pPr>
      <w:numPr>
        <w:numId w:val="6"/>
      </w:numPr>
      <w:outlineLvl w:val="0"/>
    </w:pPr>
  </w:style>
  <w:style w:type="paragraph" w:customStyle="1" w:styleId="ASL2">
    <w:name w:val="ASL2"/>
    <w:basedOn w:val="AN"/>
    <w:uiPriority w:val="5"/>
    <w:qFormat/>
    <w:rsid w:val="00044308"/>
    <w:pPr>
      <w:numPr>
        <w:ilvl w:val="1"/>
        <w:numId w:val="6"/>
      </w:numPr>
      <w:outlineLvl w:val="1"/>
    </w:pPr>
  </w:style>
  <w:style w:type="paragraph" w:customStyle="1" w:styleId="ASL3">
    <w:name w:val="ASL3"/>
    <w:basedOn w:val="AN"/>
    <w:uiPriority w:val="5"/>
    <w:qFormat/>
    <w:rsid w:val="00044308"/>
    <w:pPr>
      <w:numPr>
        <w:ilvl w:val="2"/>
        <w:numId w:val="6"/>
      </w:numPr>
    </w:pPr>
  </w:style>
  <w:style w:type="paragraph" w:customStyle="1" w:styleId="ASL4">
    <w:name w:val="ASL4"/>
    <w:basedOn w:val="AN"/>
    <w:uiPriority w:val="5"/>
    <w:qFormat/>
    <w:rsid w:val="00044308"/>
    <w:pPr>
      <w:numPr>
        <w:ilvl w:val="3"/>
        <w:numId w:val="6"/>
      </w:numPr>
    </w:pPr>
  </w:style>
  <w:style w:type="numbering" w:customStyle="1" w:styleId="AddScheduleHeadingList">
    <w:name w:val="Add Schedule Heading List"/>
    <w:uiPriority w:val="99"/>
    <w:rsid w:val="00454AD8"/>
    <w:pPr>
      <w:numPr>
        <w:numId w:val="7"/>
      </w:numPr>
    </w:pPr>
  </w:style>
  <w:style w:type="paragraph" w:styleId="Title">
    <w:name w:val="Title"/>
    <w:basedOn w:val="Normal"/>
    <w:link w:val="TitleChar"/>
    <w:qFormat/>
    <w:rsid w:val="00507ACC"/>
    <w:pPr>
      <w:keepNext/>
      <w:spacing w:after="220"/>
    </w:pPr>
    <w:rPr>
      <w:rFonts w:eastAsia="Times New Roman" w:cs="Arial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507ACC"/>
    <w:rPr>
      <w:rFonts w:eastAsia="Times New Roman" w:cs="Arial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507ACC"/>
    <w:rPr>
      <w:rFonts w:ascii="Times New Roman" w:eastAsia="Times New Roman" w:hAnsi="Times New Roman"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507ACC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507ACC"/>
    <w:rPr>
      <w:rFonts w:ascii="Times New Roman" w:eastAsia="Times New Roman" w:hAnsi="Times New Roman"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07ACC"/>
    <w:rPr>
      <w:rFonts w:ascii="Times New Roman" w:eastAsia="Times New Roman" w:hAnsi="Times New Roman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507ACC"/>
    <w:rPr>
      <w:rFonts w:ascii="Times New Roman" w:eastAsia="Times New Roman" w:hAnsi="Times New Roman"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507ACC"/>
    <w:rPr>
      <w:rFonts w:eastAsia="Times New Roman" w:cs="Arial"/>
      <w:b/>
      <w:sz w:val="24"/>
      <w:szCs w:val="22"/>
    </w:rPr>
  </w:style>
  <w:style w:type="paragraph" w:styleId="ListBullet">
    <w:name w:val="List Bullet"/>
    <w:basedOn w:val="Normal"/>
    <w:rsid w:val="00507ACC"/>
    <w:pPr>
      <w:numPr>
        <w:numId w:val="11"/>
      </w:numPr>
      <w:spacing w:after="220"/>
    </w:pPr>
    <w:rPr>
      <w:rFonts w:ascii="Times New Roman" w:eastAsia="Times New Roman" w:hAnsi="Times New Roman"/>
      <w:sz w:val="22"/>
      <w:szCs w:val="24"/>
    </w:rPr>
  </w:style>
  <w:style w:type="paragraph" w:styleId="ListBullet2">
    <w:name w:val="List Bullet 2"/>
    <w:basedOn w:val="Normal"/>
    <w:rsid w:val="00507ACC"/>
    <w:pPr>
      <w:numPr>
        <w:ilvl w:val="1"/>
        <w:numId w:val="11"/>
      </w:numPr>
      <w:spacing w:after="220"/>
    </w:pPr>
    <w:rPr>
      <w:rFonts w:ascii="Times New Roman" w:eastAsia="Times New Roman" w:hAnsi="Times New Roman"/>
      <w:sz w:val="22"/>
      <w:szCs w:val="24"/>
    </w:rPr>
  </w:style>
  <w:style w:type="paragraph" w:styleId="ListBullet3">
    <w:name w:val="List Bullet 3"/>
    <w:basedOn w:val="Normal"/>
    <w:rsid w:val="00507ACC"/>
    <w:pPr>
      <w:numPr>
        <w:ilvl w:val="2"/>
        <w:numId w:val="11"/>
      </w:numPr>
      <w:spacing w:after="220"/>
    </w:pPr>
    <w:rPr>
      <w:rFonts w:ascii="Times New Roman" w:eastAsia="Times New Roman" w:hAnsi="Times New Roman"/>
      <w:sz w:val="22"/>
      <w:szCs w:val="24"/>
    </w:rPr>
  </w:style>
  <w:style w:type="paragraph" w:styleId="ListBullet4">
    <w:name w:val="List Bullet 4"/>
    <w:basedOn w:val="Normal"/>
    <w:rsid w:val="00507ACC"/>
    <w:pPr>
      <w:numPr>
        <w:ilvl w:val="3"/>
        <w:numId w:val="11"/>
      </w:numPr>
      <w:spacing w:after="220"/>
    </w:pPr>
    <w:rPr>
      <w:rFonts w:ascii="Times New Roman" w:eastAsia="Times New Roman" w:hAnsi="Times New Roman"/>
      <w:sz w:val="22"/>
      <w:szCs w:val="24"/>
    </w:rPr>
  </w:style>
  <w:style w:type="paragraph" w:styleId="ListBullet5">
    <w:name w:val="List Bullet 5"/>
    <w:basedOn w:val="Normal"/>
    <w:rsid w:val="00507ACC"/>
    <w:pPr>
      <w:numPr>
        <w:ilvl w:val="4"/>
        <w:numId w:val="11"/>
      </w:numPr>
      <w:spacing w:after="220"/>
    </w:pPr>
    <w:rPr>
      <w:rFonts w:ascii="Times New Roman" w:eastAsia="Times New Roman" w:hAnsi="Times New Roman"/>
      <w:sz w:val="22"/>
      <w:szCs w:val="24"/>
    </w:rPr>
  </w:style>
  <w:style w:type="paragraph" w:customStyle="1" w:styleId="IndentParaLevel1">
    <w:name w:val="IndentParaLevel1"/>
    <w:basedOn w:val="Normal"/>
    <w:link w:val="IndentParaLevel1Char"/>
    <w:rsid w:val="00507ACC"/>
    <w:pPr>
      <w:spacing w:after="220"/>
      <w:ind w:left="964"/>
    </w:pPr>
    <w:rPr>
      <w:rFonts w:ascii="Times New Roman" w:eastAsia="Times New Roman" w:hAnsi="Times New Roman"/>
      <w:sz w:val="22"/>
      <w:szCs w:val="24"/>
    </w:rPr>
  </w:style>
  <w:style w:type="paragraph" w:customStyle="1" w:styleId="SubtitleTNR">
    <w:name w:val="Subtitle_TNR"/>
    <w:basedOn w:val="Normal"/>
    <w:rsid w:val="00507ACC"/>
    <w:pPr>
      <w:keepNext/>
      <w:spacing w:after="220"/>
    </w:pPr>
    <w:rPr>
      <w:rFonts w:ascii="Times New Roman" w:eastAsia="Times New Roman" w:hAnsi="Times New Roman"/>
      <w:b/>
      <w:sz w:val="24"/>
      <w:szCs w:val="24"/>
    </w:rPr>
  </w:style>
  <w:style w:type="character" w:customStyle="1" w:styleId="IndentParaLevel1Char">
    <w:name w:val="IndentParaLevel1 Char"/>
    <w:basedOn w:val="DefaultParagraphFont"/>
    <w:link w:val="IndentParaLevel1"/>
    <w:rsid w:val="00507ACC"/>
    <w:rPr>
      <w:rFonts w:ascii="Times New Roman" w:eastAsia="Times New Roman" w:hAnsi="Times New Roman"/>
      <w:sz w:val="22"/>
      <w:szCs w:val="24"/>
    </w:rPr>
  </w:style>
  <w:style w:type="paragraph" w:customStyle="1" w:styleId="StyleLTLDocumentTitleSub-HeadingLevel1Arial">
    <w:name w:val="Style LTL Document Title Sub-Heading Level 1 + Arial"/>
    <w:basedOn w:val="Normal"/>
    <w:link w:val="StyleLTLDocumentTitleSub-HeadingLevel1ArialChar"/>
    <w:rsid w:val="00507ACC"/>
    <w:pPr>
      <w:spacing w:before="120" w:after="120"/>
      <w:jc w:val="center"/>
    </w:pPr>
    <w:rPr>
      <w:rFonts w:ascii="Verdana" w:eastAsia="Times New Roman" w:hAnsi="Verdana"/>
      <w:sz w:val="28"/>
      <w:lang w:val="en-US"/>
    </w:rPr>
  </w:style>
  <w:style w:type="character" w:customStyle="1" w:styleId="StyleLTLDocumentTitleSub-HeadingLevel1ArialChar">
    <w:name w:val="Style LTL Document Title Sub-Heading Level 1 + Arial Char"/>
    <w:link w:val="StyleLTLDocumentTitleSub-HeadingLevel1Arial"/>
    <w:rsid w:val="00507ACC"/>
    <w:rPr>
      <w:rFonts w:ascii="Verdana" w:eastAsia="Times New Roman" w:hAnsi="Verdana"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E1463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C3666"/>
    <w:pPr>
      <w:ind w:left="720"/>
      <w:contextualSpacing/>
    </w:pPr>
  </w:style>
  <w:style w:type="paragraph" w:customStyle="1" w:styleId="HRScheduleHdg">
    <w:name w:val="HRScheduleHdg"/>
    <w:next w:val="Normal"/>
    <w:qFormat/>
    <w:rsid w:val="00047D1A"/>
    <w:pPr>
      <w:numPr>
        <w:numId w:val="16"/>
      </w:numPr>
      <w:spacing w:after="240" w:line="260" w:lineRule="atLeast"/>
      <w:outlineLvl w:val="0"/>
    </w:pPr>
    <w:rPr>
      <w:rFonts w:ascii="Calibri" w:eastAsiaTheme="majorEastAsia" w:hAnsi="Calibri"/>
      <w:b/>
      <w:sz w:val="24"/>
      <w:szCs w:val="24"/>
      <w:lang w:eastAsia="en-AU"/>
    </w:rPr>
  </w:style>
  <w:style w:type="paragraph" w:customStyle="1" w:styleId="HRScheduleHeadList">
    <w:name w:val="HRScheduleHeadList"/>
    <w:qFormat/>
    <w:rsid w:val="00047D1A"/>
    <w:pPr>
      <w:numPr>
        <w:ilvl w:val="3"/>
        <w:numId w:val="16"/>
      </w:numPr>
      <w:spacing w:before="240" w:after="240" w:line="260" w:lineRule="atLeast"/>
      <w:outlineLvl w:val="1"/>
    </w:pPr>
    <w:rPr>
      <w:rFonts w:ascii="Calibri" w:eastAsiaTheme="majorEastAsia" w:hAnsi="Calibri"/>
      <w:b/>
      <w:sz w:val="24"/>
      <w:szCs w:val="24"/>
      <w:lang w:eastAsia="en-AU"/>
    </w:rPr>
  </w:style>
  <w:style w:type="paragraph" w:customStyle="1" w:styleId="HRScheduleItem">
    <w:name w:val="HRScheduleItem"/>
    <w:qFormat/>
    <w:rsid w:val="00047D1A"/>
    <w:pPr>
      <w:numPr>
        <w:ilvl w:val="1"/>
        <w:numId w:val="16"/>
      </w:numPr>
      <w:spacing w:after="180" w:line="260" w:lineRule="atLeast"/>
    </w:pPr>
    <w:rPr>
      <w:rFonts w:ascii="Calibri" w:eastAsiaTheme="majorEastAsia" w:hAnsi="Calibri"/>
      <w:sz w:val="22"/>
      <w:szCs w:val="24"/>
      <w:lang w:eastAsia="en-AU"/>
    </w:rPr>
  </w:style>
  <w:style w:type="paragraph" w:customStyle="1" w:styleId="HRScheduleL3">
    <w:name w:val="HRScheduleL3"/>
    <w:qFormat/>
    <w:rsid w:val="00047D1A"/>
    <w:pPr>
      <w:numPr>
        <w:ilvl w:val="5"/>
        <w:numId w:val="16"/>
      </w:numPr>
      <w:spacing w:after="180" w:line="260" w:lineRule="atLeast"/>
    </w:pPr>
    <w:rPr>
      <w:rFonts w:ascii="Calibri" w:eastAsiaTheme="majorEastAsia" w:hAnsi="Calibri"/>
      <w:sz w:val="22"/>
      <w:szCs w:val="24"/>
      <w:lang w:eastAsia="en-AU"/>
    </w:rPr>
  </w:style>
  <w:style w:type="paragraph" w:customStyle="1" w:styleId="HRScheduleL4">
    <w:name w:val="HRScheduleL4"/>
    <w:qFormat/>
    <w:rsid w:val="00047D1A"/>
    <w:pPr>
      <w:numPr>
        <w:ilvl w:val="6"/>
        <w:numId w:val="16"/>
      </w:numPr>
      <w:spacing w:after="180" w:line="260" w:lineRule="atLeast"/>
    </w:pPr>
    <w:rPr>
      <w:rFonts w:ascii="Calibri" w:eastAsiaTheme="majorEastAsia" w:hAnsi="Calibri"/>
      <w:sz w:val="22"/>
      <w:szCs w:val="24"/>
      <w:lang w:eastAsia="en-AU"/>
    </w:rPr>
  </w:style>
  <w:style w:type="paragraph" w:customStyle="1" w:styleId="HRScheduleL5">
    <w:name w:val="HRScheduleL5"/>
    <w:qFormat/>
    <w:rsid w:val="00047D1A"/>
    <w:pPr>
      <w:numPr>
        <w:ilvl w:val="7"/>
        <w:numId w:val="16"/>
      </w:numPr>
      <w:spacing w:after="180" w:line="260" w:lineRule="atLeast"/>
    </w:pPr>
    <w:rPr>
      <w:rFonts w:ascii="Calibri" w:eastAsiaTheme="majorEastAsia" w:hAnsi="Calibri"/>
      <w:sz w:val="22"/>
      <w:szCs w:val="24"/>
      <w:lang w:eastAsia="en-AU"/>
    </w:rPr>
  </w:style>
  <w:style w:type="paragraph" w:customStyle="1" w:styleId="HRScheduleListL1">
    <w:name w:val="HRScheduleListL1"/>
    <w:qFormat/>
    <w:rsid w:val="00047D1A"/>
    <w:pPr>
      <w:numPr>
        <w:ilvl w:val="2"/>
        <w:numId w:val="16"/>
      </w:numPr>
      <w:spacing w:after="180" w:line="260" w:lineRule="atLeast"/>
    </w:pPr>
    <w:rPr>
      <w:rFonts w:ascii="Calibri" w:eastAsiaTheme="majorEastAsia" w:hAnsi="Calibri"/>
      <w:sz w:val="22"/>
      <w:szCs w:val="24"/>
      <w:lang w:eastAsia="en-AU"/>
    </w:rPr>
  </w:style>
  <w:style w:type="paragraph" w:customStyle="1" w:styleId="HRScheduleSubHead">
    <w:name w:val="HRScheduleSubHead"/>
    <w:qFormat/>
    <w:rsid w:val="00047D1A"/>
    <w:pPr>
      <w:numPr>
        <w:ilvl w:val="4"/>
        <w:numId w:val="16"/>
      </w:numPr>
      <w:spacing w:after="180" w:line="260" w:lineRule="atLeast"/>
      <w:outlineLvl w:val="1"/>
    </w:pPr>
    <w:rPr>
      <w:rFonts w:ascii="Calibri" w:eastAsiaTheme="majorEastAsia" w:hAnsi="Calibri"/>
      <w:b/>
      <w:sz w:val="22"/>
      <w:szCs w:val="24"/>
      <w:lang w:eastAsia="en-AU"/>
    </w:rPr>
  </w:style>
  <w:style w:type="table" w:styleId="TableGrid">
    <w:name w:val="Table Grid"/>
    <w:basedOn w:val="TableNormal"/>
    <w:uiPriority w:val="59"/>
    <w:rsid w:val="00047D1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ScheduleItemNoTab">
    <w:name w:val="HRScheduleItemNoTab"/>
    <w:basedOn w:val="HRScheduleItem"/>
    <w:qFormat/>
    <w:rsid w:val="00047D1A"/>
    <w:pPr>
      <w:numPr>
        <w:ilvl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\AppData\Roaming\Microsoft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0696-EB7D-4AF0-846C-23D72998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53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</dc:creator>
  <cp:keywords/>
  <dc:description/>
  <cp:lastModifiedBy>Melissa Everitt</cp:lastModifiedBy>
  <cp:revision>4</cp:revision>
  <cp:lastPrinted>2018-11-09T06:04:00Z</cp:lastPrinted>
  <dcterms:created xsi:type="dcterms:W3CDTF">2019-05-17T03:40:00Z</dcterms:created>
  <dcterms:modified xsi:type="dcterms:W3CDTF">2019-05-17T04:36:00Z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DocNo">
    <vt:lpwstr>2940703_1</vt:lpwstr>
  </property>
</Properties>
</file>